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51FC" w:rsidR="00D5547E" w:rsidP="004A6D2F" w:rsidRDefault="00D5547E" w14:paraId="3A2EDFC9" w14:textId="77777777"/>
    <w:tbl>
      <w:tblPr>
        <w:tblW w:w="0" w:type="auto"/>
        <w:tblInd w:w="108" w:type="dxa"/>
        <w:tblLayout w:type="fixed"/>
        <w:tblLook w:val="04A0" w:firstRow="1" w:lastRow="0" w:firstColumn="1" w:lastColumn="0" w:noHBand="0" w:noVBand="1"/>
      </w:tblPr>
      <w:tblGrid>
        <w:gridCol w:w="2438"/>
        <w:gridCol w:w="6406"/>
      </w:tblGrid>
      <w:tr w:rsidRPr="00975B07" w:rsidR="00CE544A" w:rsidTr="0183C7F6" w14:paraId="04473DCA" w14:textId="77777777">
        <w:tc>
          <w:tcPr>
            <w:tcW w:w="2438" w:type="dxa"/>
            <w:tcMar/>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tcMar/>
          </w:tcPr>
          <w:p w:rsidRPr="00F95BC9" w:rsidR="00F445B1" w:rsidP="004A6D2F" w:rsidRDefault="00DB7AD7" w14:paraId="017518DB" w14:textId="18369416">
            <w:pPr>
              <w:rPr>
                <w:rStyle w:val="Firstpagetablebold"/>
              </w:rPr>
            </w:pPr>
            <w:r w:rsidRPr="62B73EE3">
              <w:rPr>
                <w:rStyle w:val="Firstpagetablebold"/>
              </w:rPr>
              <w:t>Cabinet</w:t>
            </w:r>
            <w:r w:rsidRPr="62B73EE3" w:rsidR="00025250">
              <w:rPr>
                <w:rStyle w:val="Firstpagetablebold"/>
              </w:rPr>
              <w:t xml:space="preserve"> </w:t>
            </w:r>
          </w:p>
        </w:tc>
      </w:tr>
      <w:tr w:rsidRPr="00975B07" w:rsidR="00CE544A" w:rsidTr="0183C7F6" w14:paraId="705FA4FB" w14:textId="77777777">
        <w:tc>
          <w:tcPr>
            <w:tcW w:w="2438" w:type="dxa"/>
            <w:tcMar/>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tcMar/>
          </w:tcPr>
          <w:p w:rsidRPr="009E30E2" w:rsidR="00F445B1" w:rsidP="62B73EE3" w:rsidRDefault="002E0E7E" w14:paraId="4F4A4C58" w14:textId="3A36695B">
            <w:pPr>
              <w:rPr>
                <w:b w:val="1"/>
                <w:bCs w:val="1"/>
                <w:color w:val="auto"/>
              </w:rPr>
            </w:pPr>
            <w:r w:rsidRPr="0183C7F6" w:rsidR="6DA494F6">
              <w:rPr>
                <w:b w:val="1"/>
                <w:bCs w:val="1"/>
                <w:color w:val="auto"/>
              </w:rPr>
              <w:t>22 October</w:t>
            </w:r>
            <w:r w:rsidRPr="0183C7F6" w:rsidR="002E0E7E">
              <w:rPr>
                <w:b w:val="1"/>
                <w:bCs w:val="1"/>
                <w:color w:val="auto"/>
              </w:rPr>
              <w:t xml:space="preserve"> 2025</w:t>
            </w:r>
          </w:p>
        </w:tc>
      </w:tr>
      <w:tr w:rsidRPr="00975B07" w:rsidR="00CE544A" w:rsidTr="0183C7F6" w14:paraId="7AED9E48" w14:textId="77777777">
        <w:tc>
          <w:tcPr>
            <w:tcW w:w="2438" w:type="dxa"/>
            <w:tcMar/>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tcMar/>
          </w:tcPr>
          <w:p w:rsidRPr="009E30E2" w:rsidR="00F445B1" w:rsidP="004A6D2F" w:rsidRDefault="001D5B48" w14:paraId="31C202AE" w14:textId="1247C118">
            <w:pPr>
              <w:rPr>
                <w:rStyle w:val="Firstpagetablebold"/>
                <w:color w:val="auto"/>
              </w:rPr>
            </w:pPr>
            <w:r>
              <w:rPr>
                <w:rStyle w:val="Firstpagetablebold"/>
                <w:rFonts w:cs="Arial"/>
                <w:b w:val="0"/>
                <w:color w:val="auto"/>
              </w:rPr>
              <w:t xml:space="preserve">Nigel Kennedy </w:t>
            </w:r>
            <w:r w:rsidR="00B27675">
              <w:rPr>
                <w:rStyle w:val="Firstpagetablebold"/>
                <w:rFonts w:cs="Arial"/>
                <w:b w:val="0"/>
                <w:color w:val="auto"/>
              </w:rPr>
              <w:t>–</w:t>
            </w:r>
            <w:r>
              <w:rPr>
                <w:rStyle w:val="Firstpagetablebold"/>
                <w:rFonts w:cs="Arial"/>
                <w:b w:val="0"/>
                <w:color w:val="auto"/>
              </w:rPr>
              <w:t xml:space="preserve"> </w:t>
            </w:r>
            <w:r w:rsidR="00B27675">
              <w:rPr>
                <w:rStyle w:val="Firstpagetablebold"/>
                <w:rFonts w:cs="Arial"/>
                <w:b w:val="0"/>
                <w:color w:val="auto"/>
              </w:rPr>
              <w:t>Group Finance Director</w:t>
            </w:r>
          </w:p>
        </w:tc>
      </w:tr>
      <w:tr w:rsidRPr="00975B07" w:rsidR="00CE544A" w:rsidTr="0183C7F6" w14:paraId="312CDF01" w14:textId="77777777">
        <w:tc>
          <w:tcPr>
            <w:tcW w:w="2438" w:type="dxa"/>
            <w:tcMar/>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tcMar/>
          </w:tcPr>
          <w:p w:rsidRPr="009E30E2" w:rsidR="00F445B1" w:rsidP="004A6D2F" w:rsidRDefault="002E0E7E" w14:paraId="4C45E9F3" w14:textId="6131268F">
            <w:pPr>
              <w:rPr>
                <w:rStyle w:val="Firstpagetablebold"/>
                <w:color w:val="auto"/>
              </w:rPr>
            </w:pPr>
            <w:r>
              <w:rPr>
                <w:rStyle w:val="Firstpagetablebold"/>
                <w:rFonts w:cs="Arial"/>
                <w:b w:val="0"/>
                <w:color w:val="auto"/>
              </w:rPr>
              <w:t>Contract in relation to Real Estate Asset Valuations</w:t>
            </w:r>
          </w:p>
        </w:tc>
      </w:tr>
    </w:tbl>
    <w:p w:rsidR="004F20EF" w:rsidP="004A6D2F" w:rsidRDefault="004F20EF" w14:paraId="2173E708" w14:textId="77777777"/>
    <w:tbl>
      <w:tblPr>
        <w:tblW w:w="9238"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800"/>
      </w:tblGrid>
      <w:tr w:rsidR="00D5547E" w:rsidTr="00442E56" w14:paraId="30A8EDD0" w14:textId="77777777">
        <w:tc>
          <w:tcPr>
            <w:tcW w:w="9238"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442E56"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800" w:type="dxa"/>
            <w:tcBorders>
              <w:top w:val="single" w:color="000000" w:sz="8" w:space="0"/>
              <w:left w:val="nil"/>
              <w:bottom w:val="nil"/>
              <w:right w:val="single" w:color="000000" w:sz="8" w:space="0"/>
            </w:tcBorders>
            <w:hideMark/>
          </w:tcPr>
          <w:p w:rsidRPr="009E30E2" w:rsidR="00D5547E" w:rsidP="00DB7AD7" w:rsidRDefault="008E763B" w14:paraId="419B6548" w14:textId="4F350735">
            <w:pPr>
              <w:rPr>
                <w:color w:val="auto"/>
              </w:rPr>
            </w:pPr>
            <w:r>
              <w:rPr>
                <w:color w:val="auto"/>
              </w:rPr>
              <w:t>Giving Project Approval and d</w:t>
            </w:r>
            <w:r w:rsidR="00AA621A">
              <w:rPr>
                <w:color w:val="auto"/>
              </w:rPr>
              <w:t xml:space="preserve">elegating authority to </w:t>
            </w:r>
            <w:r>
              <w:rPr>
                <w:color w:val="auto"/>
              </w:rPr>
              <w:t xml:space="preserve">officers to </w:t>
            </w:r>
            <w:r w:rsidR="00AA621A">
              <w:rPr>
                <w:color w:val="auto"/>
              </w:rPr>
              <w:t xml:space="preserve">enter into a new contract or contracts with suitably qualified firms to undertake </w:t>
            </w:r>
            <w:r w:rsidR="00247223">
              <w:rPr>
                <w:color w:val="auto"/>
              </w:rPr>
              <w:t>real estate valuations.</w:t>
            </w:r>
          </w:p>
        </w:tc>
      </w:tr>
      <w:tr w:rsidR="00025250" w:rsidTr="00442E56"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800" w:type="dxa"/>
            <w:tcBorders>
              <w:top w:val="nil"/>
              <w:left w:val="nil"/>
              <w:bottom w:val="nil"/>
              <w:right w:val="single" w:color="000000" w:sz="8" w:space="0"/>
            </w:tcBorders>
            <w:hideMark/>
          </w:tcPr>
          <w:p w:rsidRPr="009E30E2" w:rsidR="00025250" w:rsidP="00025250" w:rsidRDefault="00025250" w14:paraId="1B0C58F5" w14:textId="20740064">
            <w:pPr>
              <w:rPr>
                <w:color w:val="auto"/>
              </w:rPr>
            </w:pPr>
            <w:r w:rsidRPr="009E30E2">
              <w:rPr>
                <w:rFonts w:cs="Arial"/>
                <w:color w:val="auto"/>
              </w:rPr>
              <w:t>Yes</w:t>
            </w:r>
            <w:r w:rsidR="007360D6">
              <w:rPr>
                <w:rFonts w:cs="Arial"/>
                <w:color w:val="auto"/>
              </w:rPr>
              <w:t xml:space="preserve"> – </w:t>
            </w:r>
            <w:hyperlink w:history="1" r:id="rId11">
              <w:r w:rsidRPr="00EC680E" w:rsidR="007360D6">
                <w:rPr>
                  <w:rStyle w:val="Hyperlink"/>
                  <w:rFonts w:cs="Arial"/>
                </w:rPr>
                <w:t>see l</w:t>
              </w:r>
              <w:r w:rsidRPr="00EC680E" w:rsidR="00EC680E">
                <w:rPr>
                  <w:rStyle w:val="Hyperlink"/>
                  <w:rFonts w:cs="Arial"/>
                </w:rPr>
                <w:t>ink</w:t>
              </w:r>
            </w:hyperlink>
          </w:p>
        </w:tc>
      </w:tr>
      <w:tr w:rsidR="00025250" w:rsidTr="00442E56"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800" w:type="dxa"/>
            <w:tcBorders>
              <w:top w:val="nil"/>
              <w:left w:val="nil"/>
              <w:bottom w:val="nil"/>
              <w:right w:val="single" w:color="000000" w:sz="8" w:space="0"/>
            </w:tcBorders>
            <w:hideMark/>
          </w:tcPr>
          <w:p w:rsidRPr="009E30E2" w:rsidR="00025250" w:rsidP="00025250" w:rsidRDefault="002E0E7E" w14:paraId="1E006809" w14:textId="215BF0F2">
            <w:pPr>
              <w:rPr>
                <w:color w:val="auto"/>
              </w:rPr>
            </w:pPr>
            <w:r>
              <w:rPr>
                <w:color w:val="auto"/>
              </w:rPr>
              <w:t>C</w:t>
            </w:r>
            <w:r>
              <w:t>llr Ed Turner – Deputy Leader (</w:t>
            </w:r>
            <w:r w:rsidR="003D4F42">
              <w:t>S</w:t>
            </w:r>
            <w:r>
              <w:t xml:space="preserve">tatutory) </w:t>
            </w:r>
            <w:r w:rsidR="003D4F42">
              <w:t>– Finance and Asset Manag</w:t>
            </w:r>
            <w:r w:rsidR="00F91504">
              <w:t>e</w:t>
            </w:r>
            <w:r w:rsidR="003D4F42">
              <w:t>ment</w:t>
            </w:r>
          </w:p>
        </w:tc>
      </w:tr>
      <w:tr w:rsidR="00025250" w:rsidTr="00442E56"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800" w:type="dxa"/>
            <w:tcBorders>
              <w:top w:val="nil"/>
              <w:left w:val="nil"/>
              <w:bottom w:val="nil"/>
              <w:right w:val="single" w:color="000000" w:sz="8" w:space="0"/>
            </w:tcBorders>
          </w:tcPr>
          <w:p w:rsidRPr="009E30E2" w:rsidR="00025250" w:rsidP="00025250" w:rsidRDefault="003D4F42" w14:paraId="3DF1AC69" w14:textId="457D5D24">
            <w:pPr>
              <w:rPr>
                <w:color w:val="auto"/>
              </w:rPr>
            </w:pPr>
            <w:r>
              <w:rPr>
                <w:color w:val="auto"/>
              </w:rPr>
              <w:t>Well Run Council</w:t>
            </w:r>
          </w:p>
        </w:tc>
      </w:tr>
      <w:tr w:rsidR="00025250" w:rsidTr="00442E56"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800" w:type="dxa"/>
            <w:tcBorders>
              <w:top w:val="nil"/>
              <w:left w:val="nil"/>
              <w:bottom w:val="single" w:color="auto" w:sz="4" w:space="0"/>
              <w:right w:val="single" w:color="000000" w:sz="8" w:space="0"/>
            </w:tcBorders>
            <w:hideMark/>
          </w:tcPr>
          <w:p w:rsidRPr="009E30E2" w:rsidR="00025250" w:rsidP="00025250" w:rsidRDefault="00696C1B" w14:paraId="0AA7D163" w14:textId="3F11CE6C">
            <w:pPr>
              <w:rPr>
                <w:color w:val="auto"/>
              </w:rPr>
            </w:pPr>
            <w:r>
              <w:rPr>
                <w:color w:val="auto"/>
              </w:rPr>
              <w:t>Procurement Strategy</w:t>
            </w:r>
          </w:p>
        </w:tc>
      </w:tr>
    </w:tbl>
    <w:p w:rsidR="00CE544A" w:rsidP="004A6D2F" w:rsidRDefault="00CE544A" w14:paraId="3B28CE5F" w14:textId="77777777"/>
    <w:tbl>
      <w:tblPr>
        <w:tblW w:w="9238"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812"/>
      </w:tblGrid>
      <w:tr w:rsidRPr="00975B07" w:rsidR="00025250" w:rsidTr="00706125" w14:paraId="75BF65A5" w14:textId="77777777">
        <w:trPr>
          <w:trHeight w:val="413"/>
        </w:trPr>
        <w:tc>
          <w:tcPr>
            <w:tcW w:w="9238" w:type="dxa"/>
            <w:gridSpan w:val="2"/>
            <w:tcBorders>
              <w:bottom w:val="single" w:color="000000" w:themeColor="text1" w:sz="8" w:space="0"/>
            </w:tcBorders>
          </w:tcPr>
          <w:p w:rsidRPr="00975B07" w:rsidR="00025250"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00706125" w14:paraId="128A7C0D" w14:textId="77777777">
        <w:trPr>
          <w:trHeight w:val="283"/>
        </w:trPr>
        <w:tc>
          <w:tcPr>
            <w:tcW w:w="426" w:type="dxa"/>
            <w:tcBorders>
              <w:top w:val="single" w:color="000000" w:themeColor="text1" w:sz="8" w:space="0"/>
              <w:left w:val="single" w:color="000000" w:themeColor="text1" w:sz="8" w:space="0"/>
              <w:bottom w:val="single" w:color="auto" w:sz="4" w:space="0"/>
              <w:right w:val="nil"/>
            </w:tcBorders>
          </w:tcPr>
          <w:p w:rsidRPr="00975B07" w:rsidR="00025250" w:rsidRDefault="00025250" w14:paraId="4AAB6C58" w14:textId="77777777">
            <w:r w:rsidRPr="00975B07">
              <w:t>1.</w:t>
            </w:r>
          </w:p>
        </w:tc>
        <w:tc>
          <w:tcPr>
            <w:tcW w:w="8812" w:type="dxa"/>
            <w:tcBorders>
              <w:top w:val="single" w:color="000000" w:themeColor="text1" w:sz="8" w:space="0"/>
              <w:left w:val="nil"/>
              <w:bottom w:val="single" w:color="auto" w:sz="4" w:space="0"/>
              <w:right w:val="single" w:color="000000" w:themeColor="text1" w:sz="8" w:space="0"/>
            </w:tcBorders>
          </w:tcPr>
          <w:p w:rsidR="00D10162" w:rsidP="525AB559" w:rsidRDefault="00D24F05" w14:paraId="6A02BE01" w14:textId="5E1375F6">
            <w:pPr>
              <w:pStyle w:val="ListParagraph"/>
              <w:rPr>
                <w:rStyle w:val="Firstpagetablebold"/>
              </w:rPr>
            </w:pPr>
            <w:r w:rsidRPr="525AB559">
              <w:rPr>
                <w:rStyle w:val="Firstpagetablebold"/>
              </w:rPr>
              <w:t xml:space="preserve">Give Project Approval </w:t>
            </w:r>
            <w:r w:rsidRPr="525AB559" w:rsidR="00A713FC">
              <w:rPr>
                <w:rStyle w:val="Firstpagetablebold"/>
                <w:b w:val="0"/>
              </w:rPr>
              <w:t>to approve th</w:t>
            </w:r>
            <w:r w:rsidRPr="525AB559" w:rsidR="00780404">
              <w:rPr>
                <w:rStyle w:val="Firstpagetablebold"/>
                <w:b w:val="0"/>
              </w:rPr>
              <w:t>e</w:t>
            </w:r>
            <w:r w:rsidRPr="525AB559" w:rsidR="00A713FC">
              <w:rPr>
                <w:rStyle w:val="Firstpagetablebold"/>
                <w:b w:val="0"/>
              </w:rPr>
              <w:t xml:space="preserve"> procurement </w:t>
            </w:r>
            <w:r w:rsidRPr="525AB559" w:rsidR="00940E15">
              <w:rPr>
                <w:rStyle w:val="Firstpagetablebold"/>
                <w:b w:val="0"/>
              </w:rPr>
              <w:t>of</w:t>
            </w:r>
            <w:r w:rsidRPr="525AB559" w:rsidR="00021869">
              <w:rPr>
                <w:rStyle w:val="Firstpagetablebold"/>
                <w:b w:val="0"/>
              </w:rPr>
              <w:t xml:space="preserve"> a </w:t>
            </w:r>
            <w:r w:rsidRPr="525AB559" w:rsidR="00710F96">
              <w:rPr>
                <w:rStyle w:val="Firstpagetablebold"/>
                <w:b w:val="0"/>
              </w:rPr>
              <w:t xml:space="preserve">suitably qualified </w:t>
            </w:r>
            <w:r w:rsidRPr="525AB559" w:rsidR="00021869">
              <w:rPr>
                <w:rStyle w:val="Firstpagetablebold"/>
                <w:b w:val="0"/>
              </w:rPr>
              <w:t>firm</w:t>
            </w:r>
            <w:r w:rsidRPr="525AB559" w:rsidR="00627CBA">
              <w:rPr>
                <w:rStyle w:val="Firstpagetablebold"/>
                <w:b w:val="0"/>
              </w:rPr>
              <w:t xml:space="preserve"> of</w:t>
            </w:r>
            <w:r w:rsidRPr="525AB559" w:rsidR="008E763B">
              <w:rPr>
                <w:rStyle w:val="Firstpagetablebold"/>
              </w:rPr>
              <w:t xml:space="preserve"> </w:t>
            </w:r>
            <w:r w:rsidRPr="525AB559" w:rsidR="00021869">
              <w:rPr>
                <w:rStyle w:val="Firstpagetablebold"/>
                <w:b w:val="0"/>
              </w:rPr>
              <w:t xml:space="preserve">real estate valuers </w:t>
            </w:r>
            <w:r w:rsidR="00021869">
              <w:t xml:space="preserve">to undertake valuations of </w:t>
            </w:r>
            <w:r w:rsidR="004F3E50">
              <w:t>c</w:t>
            </w:r>
            <w:r w:rsidR="00021869">
              <w:t>ouncil</w:t>
            </w:r>
            <w:r w:rsidR="00627CBA">
              <w:t>-</w:t>
            </w:r>
            <w:r w:rsidR="00021869">
              <w:t xml:space="preserve">owned properties </w:t>
            </w:r>
            <w:r w:rsidR="00627CBA">
              <w:t xml:space="preserve">recorded </w:t>
            </w:r>
            <w:r w:rsidR="00021869">
              <w:t xml:space="preserve">within the General Fund </w:t>
            </w:r>
            <w:r w:rsidR="004F3E50">
              <w:t xml:space="preserve">and Housing </w:t>
            </w:r>
            <w:r w:rsidR="007B4FCE">
              <w:t>Revenue</w:t>
            </w:r>
            <w:r w:rsidR="00627CBA">
              <w:t xml:space="preserve"> Accounts</w:t>
            </w:r>
          </w:p>
          <w:p w:rsidRPr="001356F1" w:rsidR="00025250" w:rsidP="009C02AD" w:rsidRDefault="00A4731B" w14:paraId="2D683A1F" w14:textId="4F8DFF45">
            <w:pPr>
              <w:pStyle w:val="ListParagraph"/>
            </w:pPr>
            <w:r>
              <w:rPr>
                <w:rStyle w:val="Firstpagetablebold"/>
              </w:rPr>
              <w:t>Delegate</w:t>
            </w:r>
            <w:r w:rsidRPr="001356F1" w:rsidR="00025250">
              <w:t xml:space="preserve"> </w:t>
            </w:r>
            <w:r w:rsidR="00F47B7A">
              <w:t xml:space="preserve">authority to the </w:t>
            </w:r>
            <w:r w:rsidR="00B5513E">
              <w:t xml:space="preserve">Deputy Chief Executive – Place </w:t>
            </w:r>
            <w:r w:rsidR="004D54AF">
              <w:t xml:space="preserve">in </w:t>
            </w:r>
            <w:r w:rsidR="00F47B7A">
              <w:t xml:space="preserve">consultation with the Group Director of Finance, the Director of Law, Governance and Strategy (Monitoring Officer), and </w:t>
            </w:r>
            <w:r w:rsidRPr="00F1683A" w:rsidR="008E24F8">
              <w:t xml:space="preserve">the </w:t>
            </w:r>
            <w:r w:rsidRPr="006776AB" w:rsidR="00F47B7A">
              <w:t>Cabinet Member</w:t>
            </w:r>
            <w:r w:rsidRPr="00F1683A" w:rsidR="00F1683A">
              <w:t xml:space="preserve"> for</w:t>
            </w:r>
            <w:r w:rsidR="00F1683A">
              <w:t xml:space="preserve"> Finance and Corporate Assets</w:t>
            </w:r>
            <w:r w:rsidR="00F47B7A">
              <w:t xml:space="preserve"> to determine the form of the procurement, contract, and award and enter into the final contract with the preferred supplier</w:t>
            </w:r>
          </w:p>
        </w:tc>
      </w:tr>
    </w:tbl>
    <w:p w:rsidR="00025250" w:rsidP="004A6D2F" w:rsidRDefault="00025250" w14:paraId="7D5A6705" w14:textId="77777777"/>
    <w:tbl>
      <w:tblPr>
        <w:tblW w:w="9238"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438"/>
        <w:gridCol w:w="6800"/>
      </w:tblGrid>
      <w:tr w:rsidRPr="003E4C33" w:rsidR="00025250" w:rsidTr="005669E0" w14:paraId="67F8F7AF" w14:textId="77777777">
        <w:trPr>
          <w:trHeight w:val="300"/>
        </w:trPr>
        <w:tc>
          <w:tcPr>
            <w:tcW w:w="9238" w:type="dxa"/>
            <w:gridSpan w:val="2"/>
            <w:tcBorders>
              <w:top w:val="single" w:color="000000" w:themeColor="text1" w:sz="8" w:space="0"/>
              <w:bottom w:val="single" w:color="000000" w:themeColor="text1" w:sz="8" w:space="0"/>
            </w:tcBorders>
            <w:hideMark/>
          </w:tcPr>
          <w:p w:rsidRPr="003E4C33" w:rsidR="00025250" w:rsidRDefault="00025250" w14:paraId="59493166" w14:textId="77777777">
            <w:pPr>
              <w:jc w:val="center"/>
              <w:rPr>
                <w:rStyle w:val="Firstpagetablebold"/>
                <w:rFonts w:cs="Arial"/>
              </w:rPr>
            </w:pPr>
            <w:r w:rsidRPr="003E4C33">
              <w:rPr>
                <w:rStyle w:val="Firstpagetablebold"/>
                <w:rFonts w:cs="Arial"/>
              </w:rPr>
              <w:t xml:space="preserve">Information Exempt From Publication </w:t>
            </w:r>
          </w:p>
        </w:tc>
      </w:tr>
      <w:tr w:rsidRPr="003E4C33" w:rsidR="00025250" w:rsidTr="00D41D76" w14:paraId="40623F2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2438" w:type="dxa"/>
            <w:tcBorders>
              <w:top w:val="single" w:color="auto" w:sz="4" w:space="0"/>
              <w:left w:val="single" w:color="000000" w:themeColor="text1" w:sz="8" w:space="0"/>
              <w:bottom w:val="single" w:color="000000" w:themeColor="text1" w:sz="8" w:space="0"/>
              <w:right w:val="single" w:color="auto" w:sz="4" w:space="0"/>
            </w:tcBorders>
          </w:tcPr>
          <w:p w:rsidRPr="009E30E2" w:rsidR="00025250" w:rsidRDefault="00025250" w14:paraId="5542E86A" w14:textId="570CDE82">
            <w:pPr>
              <w:rPr>
                <w:rStyle w:val="Firstpagetablebold"/>
                <w:rFonts w:cs="Arial"/>
              </w:rPr>
            </w:pPr>
            <w:r w:rsidRPr="009E30E2">
              <w:rPr>
                <w:rStyle w:val="Firstpagetablebold"/>
                <w:rFonts w:cs="Arial"/>
                <w:color w:val="auto"/>
              </w:rPr>
              <w:t>State in here what information is to be exempt from publication</w:t>
            </w:r>
          </w:p>
        </w:tc>
        <w:tc>
          <w:tcPr>
            <w:tcW w:w="6800" w:type="dxa"/>
            <w:tcBorders>
              <w:top w:val="nil"/>
              <w:left w:val="single" w:color="auto" w:sz="4" w:space="0"/>
              <w:bottom w:val="single" w:color="000000" w:themeColor="text1" w:sz="8" w:space="0"/>
              <w:right w:val="single" w:color="000000" w:themeColor="text1" w:sz="8" w:space="0"/>
            </w:tcBorders>
          </w:tcPr>
          <w:p w:rsidRPr="001A065F" w:rsidR="00025250" w:rsidP="001A065F" w:rsidRDefault="001A065F" w14:paraId="5064A6DD" w14:textId="2198456D">
            <w:pPr>
              <w:ind w:left="360" w:hanging="360"/>
              <w:rPr>
                <w:rFonts w:cs="Arial"/>
              </w:rPr>
            </w:pPr>
            <w:r>
              <w:rPr>
                <w:rFonts w:cs="Arial"/>
              </w:rPr>
              <w:t>N</w:t>
            </w:r>
            <w:r>
              <w:t>one</w:t>
            </w:r>
          </w:p>
        </w:tc>
      </w:tr>
    </w:tbl>
    <w:p w:rsidR="00025250" w:rsidP="004A6D2F" w:rsidRDefault="00025250" w14:paraId="3E3DC543" w14:textId="77777777"/>
    <w:tbl>
      <w:tblPr>
        <w:tblW w:w="9238"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523"/>
      </w:tblGrid>
      <w:tr w:rsidRPr="003E4C33" w:rsidR="002312EA" w:rsidTr="00442E56" w14:paraId="469C2CEE" w14:textId="77777777">
        <w:trPr>
          <w:trHeight w:val="300"/>
        </w:trPr>
        <w:tc>
          <w:tcPr>
            <w:tcW w:w="1912" w:type="dxa"/>
            <w:tcBorders>
              <w:bottom w:val="single" w:color="auto" w:sz="4" w:space="0"/>
            </w:tcBorders>
          </w:tcPr>
          <w:p w:rsidRPr="003E4C33" w:rsidR="002312EA"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RDefault="002312EA" w14:paraId="48373E4B" w14:textId="77777777">
            <w:pPr>
              <w:jc w:val="center"/>
              <w:rPr>
                <w:rStyle w:val="Firstpagetablebold"/>
                <w:rFonts w:cs="Arial"/>
              </w:rPr>
            </w:pPr>
            <w:r>
              <w:rPr>
                <w:rStyle w:val="Firstpagetablebold"/>
                <w:rFonts w:cs="Arial"/>
              </w:rPr>
              <w:t xml:space="preserve">Appendix Title </w:t>
            </w:r>
          </w:p>
        </w:tc>
        <w:tc>
          <w:tcPr>
            <w:tcW w:w="4523" w:type="dxa"/>
            <w:tcBorders>
              <w:bottom w:val="single" w:color="auto" w:sz="4" w:space="0"/>
            </w:tcBorders>
          </w:tcPr>
          <w:p w:rsidRPr="003E4C33" w:rsidR="002312EA"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00442E56"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RDefault="002312EA" w14:paraId="70747163" w14:textId="77777777">
            <w:pPr>
              <w:rPr>
                <w:rStyle w:val="Firstpagetablebold"/>
                <w:rFonts w:cs="Arial"/>
                <w:color w:val="auto"/>
              </w:rPr>
            </w:pPr>
            <w:r w:rsidRPr="009E30E2">
              <w:rPr>
                <w:rStyle w:val="Firstpagetablebold"/>
                <w:rFonts w:cs="Arial"/>
                <w:color w:val="auto"/>
              </w:rPr>
              <w:lastRenderedPageBreak/>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RDefault="00B62952" w14:paraId="3E2ED561" w14:textId="60CAC129">
            <w:pPr>
              <w:rPr>
                <w:rFonts w:cs="Arial"/>
                <w:color w:val="auto"/>
              </w:rPr>
            </w:pPr>
            <w:r>
              <w:rPr>
                <w:rFonts w:cs="Arial"/>
                <w:color w:val="auto"/>
              </w:rPr>
              <w:t>Risk Assessment</w:t>
            </w:r>
          </w:p>
        </w:tc>
        <w:tc>
          <w:tcPr>
            <w:tcW w:w="4523" w:type="dxa"/>
            <w:tcBorders>
              <w:top w:val="single" w:color="auto" w:sz="4" w:space="0"/>
              <w:left w:val="single" w:color="auto" w:sz="4" w:space="0"/>
              <w:bottom w:val="single" w:color="auto" w:sz="4" w:space="0"/>
              <w:right w:val="single" w:color="auto" w:sz="4" w:space="0"/>
            </w:tcBorders>
          </w:tcPr>
          <w:p w:rsidRPr="009E30E2" w:rsidR="002312EA" w:rsidRDefault="00B62952" w14:paraId="349B4576" w14:textId="2C5E91BC">
            <w:pPr>
              <w:ind w:left="18" w:hanging="18"/>
              <w:rPr>
                <w:rFonts w:cs="Arial"/>
                <w:color w:val="auto"/>
              </w:rPr>
            </w:pPr>
            <w:r>
              <w:rPr>
                <w:rFonts w:cs="Arial"/>
                <w:color w:val="auto"/>
              </w:rPr>
              <w:t>No</w:t>
            </w:r>
          </w:p>
        </w:tc>
      </w:tr>
    </w:tbl>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008954DF" w:rsidP="00C16B47" w:rsidRDefault="00BE587F" w14:paraId="40D136CA" w14:textId="6D5B9204">
      <w:pPr>
        <w:pStyle w:val="ListParagraph"/>
        <w:numPr>
          <w:ilvl w:val="0"/>
          <w:numId w:val="37"/>
        </w:numPr>
      </w:pPr>
      <w:r>
        <w:t xml:space="preserve">Local Authorities in the UK are required by statute to produce accounts in accordance with the </w:t>
      </w:r>
      <w:r w:rsidR="005D44FD">
        <w:t xml:space="preserve">“proper accounting practice” specified in the </w:t>
      </w:r>
      <w:r w:rsidR="005D44FD">
        <w:rPr>
          <w:i/>
          <w:iCs/>
        </w:rPr>
        <w:t>Code of practice on local authority accounting in the United Kingdom</w:t>
      </w:r>
      <w:r w:rsidR="005D44FD">
        <w:t xml:space="preserve">, </w:t>
      </w:r>
      <w:r w:rsidR="0043377A">
        <w:t xml:space="preserve">(the </w:t>
      </w:r>
      <w:r w:rsidR="00CD16C6">
        <w:t>“</w:t>
      </w:r>
      <w:r w:rsidR="0043377A">
        <w:t xml:space="preserve">Code”). The </w:t>
      </w:r>
      <w:r w:rsidR="00B40444">
        <w:t>C</w:t>
      </w:r>
      <w:r w:rsidR="0043377A">
        <w:t xml:space="preserve">ode is published annually by the Chartered Institute of </w:t>
      </w:r>
      <w:r w:rsidR="00B40444">
        <w:t>Public Finance and Accountancy. The Code is prepared under International Financial Reporting Standards, which have been adopted as the basis for public sector accounting in the UK.</w:t>
      </w:r>
    </w:p>
    <w:p w:rsidRPr="00184428" w:rsidR="005A7369" w:rsidP="00C16B47" w:rsidRDefault="005A7369" w14:paraId="2494791D" w14:textId="5DBDB8BD">
      <w:pPr>
        <w:pStyle w:val="ListParagraph"/>
        <w:numPr>
          <w:ilvl w:val="0"/>
          <w:numId w:val="37"/>
        </w:numPr>
      </w:pPr>
      <w:r>
        <w:t>Audits of Local Authorities are undertaken in</w:t>
      </w:r>
      <w:r w:rsidR="00BE506A">
        <w:t>-</w:t>
      </w:r>
      <w:r>
        <w:t>line with the International Standards on Auditing (UK)</w:t>
      </w:r>
      <w:r w:rsidR="00AC299B">
        <w:t xml:space="preserve"> under </w:t>
      </w:r>
      <w:r w:rsidR="00AC299B">
        <w:rPr>
          <w:i/>
          <w:iCs/>
        </w:rPr>
        <w:t>Practice Note 10: Audit of financial statements and regularity of public sector bodies in the United Kingdom</w:t>
      </w:r>
      <w:r w:rsidR="004B6627">
        <w:rPr>
          <w:i/>
          <w:iCs/>
        </w:rPr>
        <w:t>.</w:t>
      </w:r>
    </w:p>
    <w:p w:rsidR="00D76CDD" w:rsidP="00C16B47" w:rsidRDefault="00184428" w14:paraId="2BC4C77D" w14:textId="5630EE85">
      <w:pPr>
        <w:pStyle w:val="ListParagraph"/>
        <w:numPr>
          <w:ilvl w:val="0"/>
          <w:numId w:val="37"/>
        </w:numPr>
      </w:pPr>
      <w:r>
        <w:t xml:space="preserve">Real estate assets are required to be </w:t>
      </w:r>
      <w:r w:rsidR="00926F0A">
        <w:t xml:space="preserve">valued in accordance with the Royal Institution of Chartered Surveyors Valuation – Global Standards as updated and amended. It should be noted that </w:t>
      </w:r>
      <w:r w:rsidR="001B5207">
        <w:t>Public Sector Valuer R</w:t>
      </w:r>
      <w:r w:rsidR="00780EC9">
        <w:t xml:space="preserve">otation Working Group recommended that </w:t>
      </w:r>
      <w:r w:rsidR="00926F0A">
        <w:t>the requirement for valuer rotation does not apply to the public sector</w:t>
      </w:r>
      <w:r w:rsidR="00A34492">
        <w:t xml:space="preserve">; this has been approved by the RICS Standards and Regulation Board. This decision was reached on the </w:t>
      </w:r>
      <w:r w:rsidR="00D76CDD">
        <w:t xml:space="preserve">following </w:t>
      </w:r>
      <w:r w:rsidR="00A34492">
        <w:t>basis</w:t>
      </w:r>
      <w:r w:rsidR="009C21E3">
        <w:t>:</w:t>
      </w:r>
    </w:p>
    <w:p w:rsidR="00D76CDD" w:rsidP="00D76CDD" w:rsidRDefault="009734CB" w14:paraId="0230B6AF" w14:textId="456C21E2">
      <w:pPr>
        <w:pStyle w:val="Bulletpoints"/>
      </w:pPr>
      <w:r>
        <w:t>Public sector valuations of investment properties are distinct from the private sector in terms of both actual risk and public perception.</w:t>
      </w:r>
    </w:p>
    <w:p w:rsidR="009734CB" w:rsidP="00D76CDD" w:rsidRDefault="00B86DA0" w14:paraId="5CF5B17C" w14:textId="720C8D80">
      <w:pPr>
        <w:pStyle w:val="Bulletpoints"/>
      </w:pPr>
      <w:r>
        <w:t>Public sector valuations are not relied on by third party investors, public sector debt is considered in total and not relative to individual property values.</w:t>
      </w:r>
    </w:p>
    <w:p w:rsidR="00B86DA0" w:rsidP="00D76CDD" w:rsidRDefault="00445C9C" w14:paraId="3B700674" w14:textId="0A83ADEA">
      <w:pPr>
        <w:pStyle w:val="Bulletpoints"/>
      </w:pPr>
      <w:r>
        <w:t>The existing oversight mechanics of other bodies, such as the government, along with annual external audits of the valuations</w:t>
      </w:r>
      <w:r w:rsidR="009C21E3">
        <w:t xml:space="preserve"> are robust and ensure that all investment valuations are reviewed.</w:t>
      </w:r>
    </w:p>
    <w:p w:rsidR="00BE506A" w:rsidP="002B6836" w:rsidRDefault="00BE506A" w14:paraId="0C332898" w14:textId="56DD4824">
      <w:pPr>
        <w:pStyle w:val="Heading1"/>
      </w:pPr>
      <w:r>
        <w:t xml:space="preserve">Current </w:t>
      </w:r>
      <w:r w:rsidR="00BD1E4A">
        <w:t>Practice</w:t>
      </w:r>
    </w:p>
    <w:p w:rsidR="00BD1E4A" w:rsidP="00BD1E4A" w:rsidRDefault="00BD1E4A" w14:paraId="30C71784" w14:textId="46F3AF70">
      <w:pPr>
        <w:pStyle w:val="ListParagraph"/>
      </w:pPr>
      <w:r>
        <w:t xml:space="preserve">The </w:t>
      </w:r>
      <w:r w:rsidR="00A13B78">
        <w:t>real estate</w:t>
      </w:r>
      <w:r>
        <w:t xml:space="preserve"> assets owned by OCC are </w:t>
      </w:r>
      <w:r w:rsidR="0035258F">
        <w:t xml:space="preserve">reviewed on </w:t>
      </w:r>
      <w:r w:rsidR="00684B5D">
        <w:t>desktop basis</w:t>
      </w:r>
      <w:r>
        <w:t xml:space="preserve"> annually</w:t>
      </w:r>
      <w:r w:rsidR="00684B5D">
        <w:t xml:space="preserve"> with at least 20% of the portfolio being inspected and formally valued</w:t>
      </w:r>
      <w:r w:rsidR="00136659">
        <w:t xml:space="preserve"> annually.</w:t>
      </w:r>
      <w:r>
        <w:t xml:space="preserve"> </w:t>
      </w:r>
      <w:r w:rsidR="00136659">
        <w:t>T</w:t>
      </w:r>
      <w:r>
        <w:t>hese valuations form part of the annual accounts that are prepared by the finance team. OCC outsource the valuation of their real estate assets to firms that are suitably qualified to undertake valuations</w:t>
      </w:r>
      <w:r w:rsidR="00DA2700">
        <w:t xml:space="preserve"> in accordance with relevant guidance</w:t>
      </w:r>
      <w:r w:rsidR="00EB67BF">
        <w:t>.</w:t>
      </w:r>
    </w:p>
    <w:p w:rsidRPr="002B6836" w:rsidR="00633578" w:rsidP="002B6836" w:rsidRDefault="00DF512B" w14:paraId="352FB548" w14:textId="52651DC0">
      <w:pPr>
        <w:pStyle w:val="Heading1"/>
      </w:pPr>
      <w:r>
        <w:t>Proposal</w:t>
      </w:r>
    </w:p>
    <w:p w:rsidR="00CC57ED" w:rsidRDefault="00CC57ED" w14:paraId="0019705C" w14:textId="72CA0EF8">
      <w:pPr>
        <w:pStyle w:val="ListParagraph"/>
      </w:pPr>
      <w:r>
        <w:t>The contracts for the existing valuers have now expired and OCC are undertaking a tender to find a new firm or firms of valuers to undertake the valuations.</w:t>
      </w:r>
    </w:p>
    <w:p w:rsidR="00E915DF" w:rsidP="002B6836" w:rsidRDefault="00E915DF" w14:paraId="254A58F2" w14:textId="3C0C0D3A">
      <w:pPr>
        <w:pStyle w:val="bParagraphtext"/>
      </w:pPr>
      <w:r>
        <w:t>We are asking firms to submit proposals to undertake valuations of the properties with</w:t>
      </w:r>
      <w:r w:rsidR="00960DB1">
        <w:t>in</w:t>
      </w:r>
      <w:r>
        <w:t xml:space="preserve"> both the General Fund and Housing Revenue Account</w:t>
      </w:r>
      <w:r w:rsidR="00B21F8E">
        <w:t xml:space="preserve"> in accordance with the </w:t>
      </w:r>
      <w:r w:rsidR="00977A48">
        <w:t xml:space="preserve">relevant guidance from both the Royal Institution of Chartered Surveyors and Chartered </w:t>
      </w:r>
      <w:r w:rsidR="00F15408">
        <w:t>Institute of Public Finance and Accou</w:t>
      </w:r>
      <w:r w:rsidR="00662AC3">
        <w:t>n</w:t>
      </w:r>
      <w:r w:rsidR="00F15408">
        <w:t>ting</w:t>
      </w:r>
      <w:r>
        <w:t>. Firms will have the option to su</w:t>
      </w:r>
      <w:r w:rsidR="00D7300C">
        <w:t xml:space="preserve">bmit proposals </w:t>
      </w:r>
      <w:r w:rsidR="00681E17">
        <w:t xml:space="preserve">to cover both the General Fund and Housing Revenue Account or just </w:t>
      </w:r>
      <w:r w:rsidR="00630811">
        <w:t>one of the funds.</w:t>
      </w:r>
    </w:p>
    <w:p w:rsidR="00E87F7A" w:rsidP="002B6836" w:rsidRDefault="002B39F7" w14:paraId="1E76A333" w14:textId="650E1005">
      <w:pPr>
        <w:pStyle w:val="bParagraphtext"/>
      </w:pPr>
      <w:r>
        <w:t xml:space="preserve">We are proposing to </w:t>
      </w:r>
      <w:r w:rsidR="00B44103">
        <w:t xml:space="preserve">enter into a new contract </w:t>
      </w:r>
      <w:r w:rsidR="00136659">
        <w:t xml:space="preserve">of up to six years </w:t>
      </w:r>
      <w:r w:rsidR="00B44103">
        <w:t>with a suitable firm or firms of qualified valuers to undertake the valuations.</w:t>
      </w:r>
      <w:r w:rsidR="0000405D">
        <w:t xml:space="preserve"> </w:t>
      </w:r>
      <w:r w:rsidR="007D1E8E">
        <w:t>In line with our standard require</w:t>
      </w:r>
      <w:r w:rsidR="00FA51A4">
        <w:t>ments t</w:t>
      </w:r>
      <w:r w:rsidR="0000405D">
        <w:t xml:space="preserve">he contract will </w:t>
      </w:r>
      <w:r w:rsidR="005D5819">
        <w:t xml:space="preserve">require the successful contractor to </w:t>
      </w:r>
      <w:r w:rsidR="008011CE">
        <w:t>pay, at a minimum, the Oxford Living Wage</w:t>
      </w:r>
      <w:r w:rsidR="00B243DE">
        <w:t>. In addition</w:t>
      </w:r>
      <w:r w:rsidR="00FA51A4">
        <w:t xml:space="preserve"> the successful contractor will need to be able to </w:t>
      </w:r>
      <w:r w:rsidR="009B33C3">
        <w:t xml:space="preserve">demonstrate that they will be able to help </w:t>
      </w:r>
      <w:r w:rsidR="00037DAB">
        <w:t>meet the Council’s p</w:t>
      </w:r>
      <w:r w:rsidR="003D28A7">
        <w:t>riorities.</w:t>
      </w:r>
    </w:p>
    <w:p w:rsidR="00B44103" w:rsidP="002B6836" w:rsidRDefault="00B44103" w14:paraId="5FA873B7" w14:textId="7298A4A3">
      <w:pPr>
        <w:pStyle w:val="bParagraphtext"/>
      </w:pPr>
      <w:r>
        <w:t xml:space="preserve">The intention is for the </w:t>
      </w:r>
      <w:r w:rsidR="00852FD8">
        <w:t xml:space="preserve">new </w:t>
      </w:r>
      <w:r>
        <w:t>contract</w:t>
      </w:r>
      <w:r w:rsidR="00852FD8">
        <w:t xml:space="preserve">s </w:t>
      </w:r>
      <w:r>
        <w:t xml:space="preserve">to start </w:t>
      </w:r>
      <w:r w:rsidR="001D58DC">
        <w:t xml:space="preserve">in </w:t>
      </w:r>
      <w:r w:rsidR="00F37EFE">
        <w:t>late</w:t>
      </w:r>
      <w:r w:rsidR="001D58DC">
        <w:t xml:space="preserve"> 2025</w:t>
      </w:r>
      <w:r w:rsidR="00284A79">
        <w:t>.</w:t>
      </w:r>
      <w:r w:rsidR="001D58DC">
        <w:t xml:space="preserve"> </w:t>
      </w:r>
      <w:r w:rsidR="00284A79">
        <w:t>T</w:t>
      </w:r>
      <w:r w:rsidR="001D58DC">
        <w:t xml:space="preserve">his will enable the valuers to have sufficient time to review the portfolio in more detail and undertake </w:t>
      </w:r>
      <w:r w:rsidR="00DD3DD7">
        <w:t xml:space="preserve">all necessary inspections of the properties in advance of preparing the valuations as at 31 March 2026. </w:t>
      </w:r>
    </w:p>
    <w:p w:rsidRPr="002B6836" w:rsidR="00B83F05" w:rsidP="002B6836" w:rsidRDefault="00B83F05" w14:paraId="644EE72A" w14:textId="1A98E151">
      <w:pPr>
        <w:pStyle w:val="bParagraphtext"/>
      </w:pPr>
      <w:r>
        <w:t xml:space="preserve">It is likely the cost of the contract </w:t>
      </w:r>
      <w:r w:rsidR="0061358F">
        <w:t>will be £2</w:t>
      </w:r>
      <w:r w:rsidR="002E7228">
        <w:t>2</w:t>
      </w:r>
      <w:r w:rsidR="0061358F">
        <w:t>0,000 per year</w:t>
      </w:r>
      <w:r w:rsidR="00765298">
        <w:t xml:space="preserve"> (excluding VAT)</w:t>
      </w:r>
      <w:r w:rsidR="00895E8B">
        <w:t>. The total contract value i</w:t>
      </w:r>
      <w:r w:rsidR="003541EC">
        <w:t>ncluding VAT will be approximately</w:t>
      </w:r>
      <w:r w:rsidR="00895E8B">
        <w:t xml:space="preserve"> £1,</w:t>
      </w:r>
      <w:r w:rsidR="003541EC">
        <w:t>584,000</w:t>
      </w:r>
      <w:r w:rsidR="0061358F">
        <w:t xml:space="preserve">. </w:t>
      </w:r>
      <w:r w:rsidR="002E7228">
        <w:t xml:space="preserve">The indicative split </w:t>
      </w:r>
      <w:r w:rsidR="00F83D0F">
        <w:t>of the cost is as follows,</w:t>
      </w:r>
      <w:r w:rsidR="00D257B2">
        <w:t xml:space="preserve"> </w:t>
      </w:r>
      <w:r w:rsidR="00D40F36">
        <w:t>General Fund: £1</w:t>
      </w:r>
      <w:r w:rsidR="00F83D0F">
        <w:t>4</w:t>
      </w:r>
      <w:r w:rsidR="00D40F36">
        <w:t>0,000; Housing Revenue Account: £80,000.</w:t>
      </w:r>
      <w:r w:rsidR="00FD312A">
        <w:t xml:space="preserve"> The costs are covered within the budget.</w:t>
      </w:r>
    </w:p>
    <w:p w:rsidR="002312EA" w:rsidP="002B6836" w:rsidRDefault="002312EA" w14:paraId="70635196" w14:textId="298A5F7F">
      <w:pPr>
        <w:pStyle w:val="Heading1"/>
      </w:pPr>
      <w:r>
        <w:t xml:space="preserve">Alternative Options Considered </w:t>
      </w:r>
    </w:p>
    <w:p w:rsidRPr="009E30E2" w:rsidR="002312EA" w:rsidP="002312EA" w:rsidRDefault="00AE7F27" w14:paraId="5556DAA0" w14:textId="30BD775E">
      <w:pPr>
        <w:pStyle w:val="bParagraphtext"/>
        <w:rPr>
          <w:rFonts w:cs="Arial"/>
          <w:color w:val="auto"/>
        </w:rPr>
      </w:pPr>
      <w:r>
        <w:rPr>
          <w:rFonts w:cs="Arial"/>
          <w:color w:val="auto"/>
        </w:rPr>
        <w:t>We have considered undertaking the valuations in-house</w:t>
      </w:r>
      <w:r w:rsidR="000D1803">
        <w:rPr>
          <w:rFonts w:cs="Arial"/>
          <w:color w:val="auto"/>
        </w:rPr>
        <w:t>, this is permitted by the various regulations</w:t>
      </w:r>
      <w:r w:rsidR="00B13BE8">
        <w:rPr>
          <w:rFonts w:cs="Arial"/>
          <w:color w:val="auto"/>
        </w:rPr>
        <w:t xml:space="preserve"> that govern the public sector</w:t>
      </w:r>
      <w:r w:rsidR="000D1803">
        <w:rPr>
          <w:rFonts w:cs="Arial"/>
          <w:color w:val="auto"/>
        </w:rPr>
        <w:t>. However, it is difficult to recruit suitably qualified valuation surveyors, and given the size of the portfolios we would need</w:t>
      </w:r>
      <w:r w:rsidR="000E5EC4">
        <w:rPr>
          <w:rFonts w:cs="Arial"/>
          <w:color w:val="auto"/>
        </w:rPr>
        <w:t xml:space="preserve"> to recruit a large number of valuers. The cost of directly employing a new team </w:t>
      </w:r>
      <w:r w:rsidR="003A3BCB">
        <w:rPr>
          <w:rFonts w:cs="Arial"/>
          <w:color w:val="auto"/>
        </w:rPr>
        <w:t xml:space="preserve">along with the costs of </w:t>
      </w:r>
      <w:r w:rsidR="00317A42">
        <w:rPr>
          <w:rFonts w:cs="Arial"/>
          <w:color w:val="auto"/>
        </w:rPr>
        <w:t xml:space="preserve">procuring </w:t>
      </w:r>
      <w:r w:rsidR="003A3BCB">
        <w:rPr>
          <w:rFonts w:cs="Arial"/>
          <w:color w:val="auto"/>
        </w:rPr>
        <w:t xml:space="preserve">the appropriate software and ongoing training </w:t>
      </w:r>
      <w:r w:rsidR="000E5EC4">
        <w:rPr>
          <w:rFonts w:cs="Arial"/>
          <w:color w:val="auto"/>
        </w:rPr>
        <w:t xml:space="preserve">would be greater than the cost of outsourcing the work. </w:t>
      </w:r>
      <w:r w:rsidR="004A7B5C">
        <w:rPr>
          <w:rFonts w:cs="Arial"/>
          <w:color w:val="auto"/>
        </w:rPr>
        <w:t xml:space="preserve">It would also take a considerable amount of time to create a new team and to make them familiar with the various portfolios leading to an </w:t>
      </w:r>
      <w:r w:rsidR="003A78BC">
        <w:rPr>
          <w:rFonts w:cs="Arial"/>
          <w:color w:val="auto"/>
        </w:rPr>
        <w:t>increased pressure</w:t>
      </w:r>
      <w:r w:rsidR="004A7B5C">
        <w:rPr>
          <w:rFonts w:cs="Arial"/>
          <w:color w:val="auto"/>
        </w:rPr>
        <w:t xml:space="preserve"> on existing resources.</w:t>
      </w:r>
    </w:p>
    <w:p w:rsidRPr="001356F1" w:rsidR="00E87F7A" w:rsidP="002B6836" w:rsidRDefault="00E87F7A" w14:paraId="485FA2EF" w14:textId="1450874D">
      <w:pPr>
        <w:pStyle w:val="Heading1"/>
      </w:pPr>
      <w:r w:rsidRPr="001356F1">
        <w:t xml:space="preserve">Other implications </w:t>
      </w:r>
    </w:p>
    <w:p w:rsidR="00E87F7A" w:rsidP="00470BAB" w:rsidRDefault="003A78BC" w14:paraId="56C72E4E" w14:textId="0D5938E3">
      <w:pPr>
        <w:pStyle w:val="bParagraphtext"/>
      </w:pPr>
      <w:r>
        <w:t>As real estate assets form the majority of the Council’s balance sheet this is a material area, and one of increased audit focus. Failure to gain suitable valuations will lead to materially incorrect financial statements. This will, in turn lead</w:t>
      </w:r>
      <w:r w:rsidR="00D24C46">
        <w:t xml:space="preserve"> to the inability of our auditors to sign-off</w:t>
      </w:r>
      <w:r w:rsidRPr="001356F1" w:rsidR="00E87F7A">
        <w:t xml:space="preserve"> </w:t>
      </w:r>
      <w:r w:rsidR="00D24C46">
        <w:t xml:space="preserve">the financial statements. This will lease to reputational damage, and additional </w:t>
      </w:r>
      <w:r w:rsidR="00470BAB">
        <w:t xml:space="preserve">increased future audit scrutiny. </w:t>
      </w:r>
    </w:p>
    <w:p w:rsidRPr="002B6836" w:rsidR="0040736F" w:rsidP="002B6836" w:rsidRDefault="002329CF" w14:paraId="11308776" w14:textId="77777777">
      <w:pPr>
        <w:pStyle w:val="Heading1"/>
      </w:pPr>
      <w:r w:rsidRPr="002B6836">
        <w:t>Financial implications</w:t>
      </w:r>
    </w:p>
    <w:p w:rsidRPr="001356F1" w:rsidR="00E87F7A" w:rsidP="005570B5" w:rsidRDefault="00470BAB" w14:paraId="0DC981BA" w14:textId="484CA8BF">
      <w:pPr>
        <w:pStyle w:val="ListParagraph"/>
      </w:pPr>
      <w:r>
        <w:rPr>
          <w:rStyle w:val="bParagraphtextChar"/>
        </w:rPr>
        <w:t xml:space="preserve">The cost of </w:t>
      </w:r>
      <w:r w:rsidRPr="4833E2BF" w:rsidR="79442E52">
        <w:rPr>
          <w:rStyle w:val="bParagraphtextChar"/>
        </w:rPr>
        <w:t>t</w:t>
      </w:r>
      <w:r w:rsidRPr="4833E2BF">
        <w:rPr>
          <w:rStyle w:val="bParagraphtextChar"/>
        </w:rPr>
        <w:t>he</w:t>
      </w:r>
      <w:r>
        <w:rPr>
          <w:rStyle w:val="bParagraphtextChar"/>
        </w:rPr>
        <w:t xml:space="preserve"> annual valuation work will be classed as a revenue expenditure as it is an operational cost of the authority. As</w:t>
      </w:r>
      <w:r w:rsidR="00A3202E">
        <w:rPr>
          <w:rStyle w:val="bParagraphtextChar"/>
        </w:rPr>
        <w:t xml:space="preserve"> it is a statutory requirement to prepare materially correct financial statements, there is no alternative to procuring year end valuations, either in-house or externally</w:t>
      </w:r>
      <w:r w:rsidR="00E87F7A">
        <w:t>.</w:t>
      </w:r>
    </w:p>
    <w:p w:rsidRPr="001356F1" w:rsidR="0040736F" w:rsidP="004A6D2F" w:rsidRDefault="00DA614B" w14:paraId="06827778" w14:textId="77777777">
      <w:pPr>
        <w:pStyle w:val="Heading1"/>
      </w:pPr>
      <w:r w:rsidRPr="001356F1">
        <w:t>Legal issues</w:t>
      </w:r>
    </w:p>
    <w:p w:rsidR="00757E9C" w:rsidP="00E633E2" w:rsidRDefault="009D55C1" w14:paraId="2E192683" w14:textId="3492E414">
      <w:pPr>
        <w:pStyle w:val="ListParagraph"/>
        <w:spacing w:after="240"/>
        <w:ind w:left="357" w:hanging="357"/>
        <w:rPr>
          <w:rFonts w:cs="Arial"/>
          <w:color w:val="auto"/>
        </w:rPr>
      </w:pPr>
      <w:r>
        <w:rPr>
          <w:rFonts w:cs="Arial"/>
          <w:color w:val="auto"/>
        </w:rPr>
        <w:t xml:space="preserve">In accordance with 18.12 of the </w:t>
      </w:r>
      <w:r w:rsidR="00FD38EB">
        <w:rPr>
          <w:rFonts w:cs="Arial"/>
          <w:color w:val="auto"/>
        </w:rPr>
        <w:t>C</w:t>
      </w:r>
      <w:r w:rsidR="00582FED">
        <w:rPr>
          <w:rFonts w:cs="Arial"/>
          <w:color w:val="auto"/>
        </w:rPr>
        <w:t>onstitution</w:t>
      </w:r>
      <w:r w:rsidR="00757E9C">
        <w:rPr>
          <w:rFonts w:cs="Arial"/>
          <w:color w:val="auto"/>
        </w:rPr>
        <w:t xml:space="preserve">, </w:t>
      </w:r>
      <w:r w:rsidR="00D508AF">
        <w:rPr>
          <w:rFonts w:cs="Arial"/>
          <w:color w:val="auto"/>
        </w:rPr>
        <w:t>C</w:t>
      </w:r>
      <w:r w:rsidR="00757E9C">
        <w:rPr>
          <w:rFonts w:cs="Arial"/>
          <w:color w:val="auto"/>
        </w:rPr>
        <w:t xml:space="preserve">abinet is empowered to give Project Approval for all </w:t>
      </w:r>
      <w:r w:rsidR="00974A20">
        <w:rPr>
          <w:rFonts w:cs="Arial"/>
          <w:color w:val="auto"/>
        </w:rPr>
        <w:t xml:space="preserve">capital or revenue </w:t>
      </w:r>
      <w:r w:rsidR="00757E9C">
        <w:rPr>
          <w:rFonts w:cs="Arial"/>
          <w:color w:val="auto"/>
        </w:rPr>
        <w:t>projects over £750,000</w:t>
      </w:r>
    </w:p>
    <w:p w:rsidR="00EB1BED" w:rsidP="006D72C7" w:rsidRDefault="00E633E2" w14:paraId="31EE3DFC" w14:textId="05FFEA96">
      <w:pPr>
        <w:pStyle w:val="ListParagraph"/>
        <w:spacing w:after="240"/>
        <w:ind w:left="357" w:hanging="357"/>
        <w:rPr>
          <w:rFonts w:cs="Arial"/>
          <w:color w:val="auto"/>
        </w:rPr>
      </w:pPr>
      <w:r w:rsidRPr="225AB157">
        <w:rPr>
          <w:rFonts w:cs="Arial"/>
          <w:color w:val="auto"/>
        </w:rPr>
        <w:t>In accordance with 4.5 (10) and (11) Cabinet is empowered to</w:t>
      </w:r>
      <w:r w:rsidR="00582FED">
        <w:rPr>
          <w:rFonts w:cs="Arial"/>
          <w:color w:val="auto"/>
        </w:rPr>
        <w:t xml:space="preserve"> </w:t>
      </w:r>
      <w:r w:rsidRPr="225AB157">
        <w:rPr>
          <w:rFonts w:cs="Arial"/>
          <w:color w:val="auto"/>
        </w:rPr>
        <w:t>give project approval for projects of £750,000 or over and award contracts over £750,000</w:t>
      </w:r>
    </w:p>
    <w:p w:rsidRPr="007F0D7C" w:rsidR="00E7364A" w:rsidP="006D72C7" w:rsidRDefault="00E7364A" w14:paraId="02349572" w14:textId="0B9E5F8F">
      <w:pPr>
        <w:pStyle w:val="ListParagraph"/>
        <w:spacing w:after="240"/>
        <w:ind w:left="357" w:hanging="357"/>
        <w:rPr>
          <w:rFonts w:cs="Arial"/>
          <w:color w:val="auto"/>
        </w:rPr>
      </w:pPr>
      <w:r>
        <w:rPr>
          <w:rFonts w:cs="Arial"/>
          <w:color w:val="auto"/>
        </w:rPr>
        <w:t xml:space="preserve">In accordance with 19.17 </w:t>
      </w:r>
    </w:p>
    <w:p w:rsidRPr="0040258A" w:rsidR="0040258A" w:rsidP="007F0D7C" w:rsidRDefault="00E633E2" w14:paraId="2172D45A" w14:textId="6FE74260">
      <w:pPr>
        <w:pStyle w:val="ListParagraph"/>
        <w:numPr>
          <w:ilvl w:val="0"/>
          <w:numId w:val="41"/>
        </w:numPr>
      </w:pPr>
      <w:r>
        <w:rPr>
          <w:rFonts w:cs="Arial"/>
          <w:color w:val="auto"/>
        </w:rPr>
        <w:t>P</w:t>
      </w:r>
      <w:r w:rsidRPr="00374858">
        <w:rPr>
          <w:rFonts w:cs="Arial"/>
          <w:color w:val="auto"/>
        </w:rPr>
        <w:t xml:space="preserve">rocurement of goods and services must be carried out in accordance with the Council’s </w:t>
      </w:r>
      <w:r>
        <w:rPr>
          <w:rFonts w:cs="Arial"/>
          <w:color w:val="auto"/>
        </w:rPr>
        <w:t>C</w:t>
      </w:r>
      <w:r w:rsidRPr="00374858">
        <w:rPr>
          <w:rFonts w:cs="Arial"/>
          <w:color w:val="auto"/>
        </w:rPr>
        <w:t>onstitution</w:t>
      </w:r>
      <w:r>
        <w:rPr>
          <w:rFonts w:cs="Arial"/>
          <w:color w:val="auto"/>
        </w:rPr>
        <w:t>, Contract Rules,</w:t>
      </w:r>
      <w:r w:rsidRPr="00374858">
        <w:rPr>
          <w:rFonts w:cs="Arial"/>
          <w:color w:val="auto"/>
        </w:rPr>
        <w:t xml:space="preserve"> procurement procedures</w:t>
      </w:r>
      <w:r>
        <w:rPr>
          <w:rFonts w:cs="Arial"/>
          <w:color w:val="auto"/>
        </w:rPr>
        <w:t xml:space="preserve"> and in compliance with the Procurement Act 2023 (or any successor legislation)</w:t>
      </w:r>
      <w:r w:rsidRPr="00374858">
        <w:rPr>
          <w:rFonts w:cs="Arial"/>
          <w:color w:val="auto"/>
        </w:rPr>
        <w:t xml:space="preserve">, including </w:t>
      </w:r>
      <w:r>
        <w:rPr>
          <w:rFonts w:cs="Arial"/>
          <w:color w:val="auto"/>
        </w:rPr>
        <w:t>adherence to transparency, fairness and best value principles.</w:t>
      </w:r>
    </w:p>
    <w:p w:rsidRPr="001356F1" w:rsidR="002329CF" w:rsidP="004A6D2F" w:rsidRDefault="002329CF" w14:paraId="39265579" w14:textId="77777777">
      <w:pPr>
        <w:pStyle w:val="Heading1"/>
      </w:pPr>
      <w:r w:rsidRPr="001356F1">
        <w:t>Level of risk</w:t>
      </w:r>
    </w:p>
    <w:p w:rsidRPr="002B6836" w:rsidR="00BC69A4" w:rsidP="002B6836" w:rsidRDefault="00B90F13" w14:paraId="0EA9CFE9" w14:textId="7665EB68">
      <w:pPr>
        <w:pStyle w:val="bParagraphtext"/>
      </w:pPr>
      <w:r>
        <w:t xml:space="preserve">Please see attached risk register in Appendix 1. </w:t>
      </w:r>
    </w:p>
    <w:p w:rsidRPr="001356F1" w:rsidR="002329CF" w:rsidP="0050321C" w:rsidRDefault="002329CF" w14:paraId="2399E607" w14:textId="77777777">
      <w:pPr>
        <w:pStyle w:val="Heading1"/>
      </w:pPr>
      <w:r w:rsidRPr="001356F1">
        <w:t xml:space="preserve">Equalities impact </w:t>
      </w:r>
    </w:p>
    <w:p w:rsidRPr="007142F7" w:rsidR="00FB3B71" w:rsidRDefault="00AD67B8" w14:paraId="28DC08B6" w14:textId="15BA2E5A">
      <w:pPr>
        <w:pStyle w:val="ListParagraph"/>
        <w:numPr>
          <w:ilvl w:val="0"/>
          <w:numId w:val="0"/>
        </w:numPr>
        <w:rPr>
          <w:b/>
        </w:rPr>
      </w:pPr>
      <w:bookmarkStart w:name="_Hlk184712181" w:id="0"/>
      <w:r>
        <w:t>The decision does not have an impact on anyone with protected characteristics, on this basis an Equalities Impact Assessment is not necessary.</w:t>
      </w:r>
      <w:bookmarkEnd w:id="0"/>
    </w:p>
    <w:p w:rsidR="00FB3B71" w:rsidP="00FB3B71" w:rsidRDefault="00950824" w14:paraId="1C46F1C8" w14:textId="77777777">
      <w:pPr>
        <w:pStyle w:val="bParagraphtext"/>
        <w:numPr>
          <w:ilvl w:val="0"/>
          <w:numId w:val="0"/>
        </w:numPr>
      </w:pPr>
      <w:bookmarkStart w:name="_Hlk184712246" w:id="1"/>
      <w:r>
        <w:rPr>
          <w:b/>
        </w:rPr>
        <w:t>Carbon and Environmental Considerations</w:t>
      </w:r>
      <w:r w:rsidRPr="00FB3B71" w:rsidR="00FB3B71">
        <w:rPr>
          <w:b/>
        </w:rPr>
        <w:t xml:space="preserve"> </w:t>
      </w:r>
    </w:p>
    <w:p w:rsidR="00FB3B71" w:rsidP="002B6836" w:rsidRDefault="00FB3B71" w14:paraId="68B639F4" w14:textId="77777777">
      <w:pPr>
        <w:pStyle w:val="bParagraphtext"/>
      </w:pPr>
      <w:r>
        <w:t>For key decisions only</w:t>
      </w: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tcPr>
          <w:bookmarkEnd w:id="1"/>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tcPr>
          <w:p w:rsidRPr="001356F1" w:rsidR="00E87F7A" w:rsidP="00A46E98" w:rsidRDefault="007970E0" w14:paraId="6930C959" w14:textId="2E45F29F">
            <w:r>
              <w:t>Ted Bowler &amp; Robert Dude</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tcPr>
          <w:p w:rsidRPr="001356F1" w:rsidR="00E87F7A" w:rsidP="00A46E98" w:rsidRDefault="007970E0" w14:paraId="3100D2DA" w14:textId="2A0F1367">
            <w:r>
              <w:t>Corporate Asset Manager</w:t>
            </w:r>
            <w:r w:rsidR="00D17A5E">
              <w:t xml:space="preserve"> &amp; Senior Financial Accountant</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tcPr>
          <w:p w:rsidRPr="001356F1" w:rsidR="00E87F7A" w:rsidP="00A46E98" w:rsidRDefault="00E752A0" w14:paraId="0F7746FF" w14:textId="5BD50F59">
            <w:r>
              <w:t>Property and Assets &amp; Group Finance</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tcPr>
          <w:p w:rsidRPr="001356F1" w:rsidR="00E87F7A" w:rsidP="00A46E98" w:rsidRDefault="00E87F7A" w14:paraId="53D96CCC" w14:textId="6909165C">
            <w:r w:rsidRPr="001356F1">
              <w:t xml:space="preserve">01865 </w:t>
            </w:r>
            <w:r w:rsidR="00E752A0">
              <w:t>602774 &amp; 01865 529405</w:t>
            </w:r>
            <w:r w:rsidRPr="001356F1">
              <w:t xml:space="preserve"> </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tcPr>
          <w:p w:rsidRPr="001356F1" w:rsidR="00E87F7A" w:rsidP="00A46E98" w:rsidRDefault="00E752A0" w14:paraId="64C04F4C" w14:textId="2DD12D6F">
            <w:pPr>
              <w:rPr>
                <w:rStyle w:val="Hyperlink"/>
                <w:color w:val="000000"/>
              </w:rPr>
            </w:pPr>
            <w:hyperlink w:history="1" r:id="rId12">
              <w:r w:rsidRPr="009D6C86">
                <w:rPr>
                  <w:rStyle w:val="Hyperlink"/>
                </w:rPr>
                <w:t>Tbowler@oxford.gov.uk</w:t>
              </w:r>
            </w:hyperlink>
            <w:r>
              <w:rPr>
                <w:rStyle w:val="Hyperlink"/>
                <w:color w:val="000000"/>
              </w:rPr>
              <w:t xml:space="preserve"> &amp; </w:t>
            </w:r>
            <w:hyperlink w:history="1" r:id="rId13">
              <w:r w:rsidRPr="009D6C86">
                <w:rPr>
                  <w:rStyle w:val="Hyperlink"/>
                </w:rPr>
                <w:t>rdude@oxford.gov.uk</w:t>
              </w:r>
            </w:hyperlink>
            <w:r>
              <w:rPr>
                <w:rStyle w:val="Hyperlink"/>
                <w:color w:val="000000"/>
              </w:rPr>
              <w:t xml:space="preserve"> </w:t>
            </w:r>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62B73EE3"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tcPr>
          <w:p w:rsidRPr="001356F1" w:rsidR="0093067A" w:rsidP="00F41AC1" w:rsidRDefault="282C914F" w14:paraId="61B16C51" w14:textId="226BA202">
            <w:r w:rsidRPr="62B73EE3">
              <w:rPr>
                <w:rStyle w:val="Firstpagetablebold"/>
              </w:rPr>
              <w:t xml:space="preserve">Background Papers: </w:t>
            </w:r>
          </w:p>
          <w:p w:rsidRPr="001356F1" w:rsidR="0093067A" w:rsidP="00BD6181" w:rsidRDefault="007142F7" w14:paraId="7116CD40" w14:textId="7E3FA63B">
            <w:pPr>
              <w:spacing w:line="259" w:lineRule="auto"/>
              <w:rPr>
                <w:rFonts w:eastAsia="Arial" w:cs="Arial"/>
                <w:color w:val="BFBFBF" w:themeColor="background1" w:themeShade="BF"/>
              </w:rPr>
            </w:pPr>
            <w:r w:rsidRPr="007970E0">
              <w:rPr>
                <w:rStyle w:val="Firstpagetablebold"/>
                <w:rFonts w:eastAsia="Arial"/>
                <w:b w:val="0"/>
                <w:bCs/>
                <w:color w:val="auto"/>
              </w:rPr>
              <w:t>None</w:t>
            </w:r>
            <w:r w:rsidRPr="62B73EE3" w:rsidR="35E68B5F">
              <w:rPr>
                <w:rFonts w:eastAsia="Arial" w:cs="Arial"/>
                <w:i/>
                <w:iCs/>
                <w:color w:val="BFBFBF" w:themeColor="background1" w:themeShade="BF"/>
              </w:rPr>
              <w:t>.</w:t>
            </w:r>
          </w:p>
        </w:tc>
      </w:tr>
      <w:tr w:rsidRPr="001356F1" w:rsidR="00DF093E" w:rsidTr="62B73EE3" w14:paraId="4B513816" w14:textId="77777777">
        <w:tc>
          <w:tcPr>
            <w:tcW w:w="567" w:type="dxa"/>
            <w:tcBorders>
              <w:top w:val="single" w:color="000000" w:themeColor="text1" w:sz="8" w:space="0"/>
              <w:left w:val="single" w:color="000000" w:themeColor="text1" w:sz="8" w:space="0"/>
              <w:bottom w:val="nil"/>
              <w:right w:val="nil"/>
            </w:tcBorders>
          </w:tcPr>
          <w:p w:rsidRPr="001356F1" w:rsidR="0093067A" w:rsidP="00F41AC1" w:rsidRDefault="0093067A" w14:paraId="5C766C7F" w14:textId="059BC7E4"/>
        </w:tc>
        <w:tc>
          <w:tcPr>
            <w:tcW w:w="8364" w:type="dxa"/>
            <w:tcBorders>
              <w:top w:val="single" w:color="000000" w:themeColor="text1" w:sz="8" w:space="0"/>
              <w:left w:val="nil"/>
              <w:bottom w:val="nil"/>
              <w:right w:val="single" w:color="000000" w:themeColor="text1" w:sz="8" w:space="0"/>
            </w:tcBorders>
          </w:tcPr>
          <w:p w:rsidRPr="001356F1" w:rsidR="0093067A" w:rsidP="005D0621" w:rsidRDefault="0093067A" w14:paraId="462D1A28" w14:textId="0A62A68B"/>
        </w:tc>
      </w:tr>
      <w:tr w:rsidRPr="001356F1" w:rsidR="00DF093E" w:rsidTr="62B73EE3" w14:paraId="6C6E75FA" w14:textId="77777777">
        <w:tc>
          <w:tcPr>
            <w:tcW w:w="567" w:type="dxa"/>
            <w:tcBorders>
              <w:top w:val="nil"/>
              <w:left w:val="single" w:color="000000" w:themeColor="text1" w:sz="8" w:space="0"/>
              <w:bottom w:val="nil"/>
              <w:right w:val="nil"/>
            </w:tcBorders>
          </w:tcPr>
          <w:p w:rsidRPr="001356F1" w:rsidR="0093067A" w:rsidP="00F41AC1" w:rsidRDefault="0093067A" w14:paraId="05E18FBE" w14:textId="44501B71"/>
        </w:tc>
        <w:tc>
          <w:tcPr>
            <w:tcW w:w="8364" w:type="dxa"/>
            <w:tcBorders>
              <w:top w:val="nil"/>
              <w:left w:val="nil"/>
              <w:bottom w:val="nil"/>
              <w:right w:val="single" w:color="000000" w:themeColor="text1" w:sz="8" w:space="0"/>
            </w:tcBorders>
          </w:tcPr>
          <w:p w:rsidRPr="001356F1" w:rsidR="0093067A" w:rsidP="00F41AC1" w:rsidRDefault="0093067A" w14:paraId="39542725" w14:textId="77777777"/>
        </w:tc>
      </w:tr>
      <w:tr w:rsidRPr="001356F1" w:rsidR="00DF093E" w:rsidTr="62B73EE3" w14:paraId="1AC735B5" w14:textId="77777777">
        <w:tc>
          <w:tcPr>
            <w:tcW w:w="567" w:type="dxa"/>
            <w:tcBorders>
              <w:top w:val="nil"/>
              <w:left w:val="single" w:color="000000" w:themeColor="text1" w:sz="8" w:space="0"/>
              <w:bottom w:val="nil"/>
              <w:right w:val="nil"/>
            </w:tcBorders>
          </w:tcPr>
          <w:p w:rsidRPr="001356F1" w:rsidR="0093067A" w:rsidP="00F41AC1" w:rsidRDefault="0093067A" w14:paraId="64B0F938" w14:textId="50399EEF"/>
        </w:tc>
        <w:tc>
          <w:tcPr>
            <w:tcW w:w="8364" w:type="dxa"/>
            <w:tcBorders>
              <w:top w:val="nil"/>
              <w:left w:val="nil"/>
              <w:bottom w:val="nil"/>
              <w:right w:val="single" w:color="000000" w:themeColor="text1" w:sz="8" w:space="0"/>
            </w:tcBorders>
          </w:tcPr>
          <w:p w:rsidRPr="001356F1" w:rsidR="0093067A" w:rsidP="00F41AC1" w:rsidRDefault="0093067A" w14:paraId="7455CDDB" w14:textId="77777777"/>
        </w:tc>
      </w:tr>
      <w:tr w:rsidRPr="00A46E98" w:rsidR="005570B5" w:rsidTr="62B73EE3" w14:paraId="0EFBD437" w14:textId="77777777">
        <w:tc>
          <w:tcPr>
            <w:tcW w:w="567" w:type="dxa"/>
            <w:tcBorders>
              <w:top w:val="nil"/>
              <w:left w:val="single" w:color="000000" w:themeColor="text1" w:sz="8" w:space="0"/>
              <w:bottom w:val="single" w:color="000000" w:themeColor="text1" w:sz="8" w:space="0"/>
              <w:right w:val="nil"/>
            </w:tcBorders>
          </w:tcPr>
          <w:p w:rsidRPr="00A46E98" w:rsidR="0093067A" w:rsidP="00F41AC1" w:rsidRDefault="0093067A" w14:paraId="67643100" w14:textId="4D930B58"/>
        </w:tc>
        <w:tc>
          <w:tcPr>
            <w:tcW w:w="8364" w:type="dxa"/>
            <w:tcBorders>
              <w:top w:val="nil"/>
              <w:left w:val="nil"/>
              <w:bottom w:val="single" w:color="000000" w:themeColor="text1" w:sz="8" w:space="0"/>
              <w:right w:val="single" w:color="000000" w:themeColor="text1" w:sz="8" w:space="0"/>
            </w:tcBorders>
          </w:tcPr>
          <w:p w:rsidRPr="00A46E98" w:rsidR="0093067A" w:rsidP="00F41AC1" w:rsidRDefault="0093067A" w14:paraId="09B8BB73" w14:textId="77777777"/>
        </w:tc>
      </w:tr>
    </w:tbl>
    <w:p w:rsidR="00CE4C87" w:rsidP="0093067A" w:rsidRDefault="00CE4C87" w14:paraId="6E09069D" w14:textId="77777777"/>
    <w:p w:rsidR="0183C7F6" w:rsidP="0183C7F6" w:rsidRDefault="0183C7F6" w14:paraId="4CD11E54" w14:textId="19353412">
      <w:pPr>
        <w:rPr>
          <w:b w:val="1"/>
          <w:bCs w:val="1"/>
        </w:rPr>
      </w:pPr>
    </w:p>
    <w:sectPr w:rsidRPr="009E51FC" w:rsidR="004456DD" w:rsidSect="002B6836">
      <w:footerReference w:type="even" r:id="rId14"/>
      <w:headerReference w:type="first" r:id="rId15"/>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DF9" w:rsidP="004A6D2F" w:rsidRDefault="00991DF9" w14:paraId="6A9448A9" w14:textId="77777777">
      <w:r>
        <w:separator/>
      </w:r>
    </w:p>
  </w:endnote>
  <w:endnote w:type="continuationSeparator" w:id="0">
    <w:p w:rsidR="00991DF9" w:rsidP="004A6D2F" w:rsidRDefault="00991DF9" w14:paraId="03DD3D76" w14:textId="77777777">
      <w:r>
        <w:continuationSeparator/>
      </w:r>
    </w:p>
  </w:endnote>
  <w:endnote w:type="continuationNotice" w:id="1">
    <w:p w:rsidR="00991DF9" w:rsidRDefault="00991DF9" w14:paraId="5A8FD39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DF9" w:rsidP="004A6D2F" w:rsidRDefault="00991DF9" w14:paraId="03C4F7C6" w14:textId="77777777">
      <w:r>
        <w:separator/>
      </w:r>
    </w:p>
  </w:footnote>
  <w:footnote w:type="continuationSeparator" w:id="0">
    <w:p w:rsidR="00991DF9" w:rsidP="004A6D2F" w:rsidRDefault="00991DF9" w14:paraId="6BB5E3CC" w14:textId="77777777">
      <w:r>
        <w:continuationSeparator/>
      </w:r>
    </w:p>
  </w:footnote>
  <w:footnote w:type="continuationNotice" w:id="1">
    <w:p w:rsidR="00991DF9" w:rsidRDefault="00991DF9" w14:paraId="2697EF7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BB630A3"/>
    <w:multiLevelType w:val="hybridMultilevel"/>
    <w:tmpl w:val="478E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74E0E"/>
    <w:multiLevelType w:val="hybridMultilevel"/>
    <w:tmpl w:val="62829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C76ED2"/>
    <w:multiLevelType w:val="hybridMultilevel"/>
    <w:tmpl w:val="77AA1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ABA5FD8"/>
    <w:multiLevelType w:val="multilevel"/>
    <w:tmpl w:val="43D6D2FA"/>
    <w:numStyleLink w:val="StyleBulletedSymbolsymbolLeft063cmHanging063cm"/>
  </w:abstractNum>
  <w:abstractNum w:abstractNumId="32"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2A22831"/>
    <w:multiLevelType w:val="multilevel"/>
    <w:tmpl w:val="43D6D2FA"/>
    <w:numStyleLink w:val="StyleBulletedSymbolsymbolLeft063cmHanging063cm"/>
  </w:abstractNum>
  <w:abstractNum w:abstractNumId="34"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8365C6"/>
    <w:multiLevelType w:val="multilevel"/>
    <w:tmpl w:val="E67CE66C"/>
    <w:numStyleLink w:val="StyleNumberedLeft0cmHanging075cm"/>
  </w:abstractNum>
  <w:num w:numId="1" w16cid:durableId="2036299310">
    <w:abstractNumId w:val="30"/>
  </w:num>
  <w:num w:numId="2" w16cid:durableId="643705505">
    <w:abstractNumId w:val="35"/>
  </w:num>
  <w:num w:numId="3" w16cid:durableId="1284848424">
    <w:abstractNumId w:val="27"/>
  </w:num>
  <w:num w:numId="4" w16cid:durableId="578908713">
    <w:abstractNumId w:val="19"/>
  </w:num>
  <w:num w:numId="5" w16cid:durableId="54470100">
    <w:abstractNumId w:val="32"/>
  </w:num>
  <w:num w:numId="6" w16cid:durableId="694158268">
    <w:abstractNumId w:val="37"/>
  </w:num>
  <w:num w:numId="7" w16cid:durableId="647516062">
    <w:abstractNumId w:val="26"/>
  </w:num>
  <w:num w:numId="8" w16cid:durableId="1160539719">
    <w:abstractNumId w:val="22"/>
  </w:num>
  <w:num w:numId="9" w16cid:durableId="1862670074">
    <w:abstractNumId w:val="13"/>
  </w:num>
  <w:num w:numId="10" w16cid:durableId="948585193">
    <w:abstractNumId w:val="15"/>
  </w:num>
  <w:num w:numId="11" w16cid:durableId="718482766">
    <w:abstractNumId w:val="29"/>
  </w:num>
  <w:num w:numId="12" w16cid:durableId="164051272">
    <w:abstractNumId w:val="28"/>
  </w:num>
  <w:num w:numId="13" w16cid:durableId="1450854030">
    <w:abstractNumId w:val="10"/>
  </w:num>
  <w:num w:numId="14" w16cid:durableId="373359476">
    <w:abstractNumId w:val="38"/>
  </w:num>
  <w:num w:numId="15" w16cid:durableId="1009412161">
    <w:abstractNumId w:val="16"/>
  </w:num>
  <w:num w:numId="16" w16cid:durableId="2041280933">
    <w:abstractNumId w:val="11"/>
  </w:num>
  <w:num w:numId="17" w16cid:durableId="471220593">
    <w:abstractNumId w:val="31"/>
  </w:num>
  <w:num w:numId="18" w16cid:durableId="1031035851">
    <w:abstractNumId w:val="12"/>
  </w:num>
  <w:num w:numId="19" w16cid:durableId="1402945545">
    <w:abstractNumId w:val="33"/>
  </w:num>
  <w:num w:numId="20" w16cid:durableId="1667248783">
    <w:abstractNumId w:val="17"/>
  </w:num>
  <w:num w:numId="21" w16cid:durableId="1353453069">
    <w:abstractNumId w:val="24"/>
  </w:num>
  <w:num w:numId="22" w16cid:durableId="592667723">
    <w:abstractNumId w:val="14"/>
  </w:num>
  <w:num w:numId="23" w16cid:durableId="37707020">
    <w:abstractNumId w:val="34"/>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6"/>
  </w:num>
  <w:num w:numId="35" w16cid:durableId="1152941978">
    <w:abstractNumId w:val="21"/>
  </w:num>
  <w:num w:numId="36" w16cid:durableId="2006741231">
    <w:abstractNumId w:val="25"/>
  </w:num>
  <w:num w:numId="37" w16cid:durableId="1020403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2594610">
    <w:abstractNumId w:val="23"/>
  </w:num>
  <w:num w:numId="39" w16cid:durableId="1598442815">
    <w:abstractNumId w:val="20"/>
  </w:num>
  <w:num w:numId="40" w16cid:durableId="1276521135">
    <w:abstractNumId w:val="18"/>
  </w:num>
  <w:num w:numId="41" w16cid:durableId="1104231311">
    <w:abstractNumId w:val="38"/>
    <w:lvlOverride w:ilvl="0">
      <w:lvl w:ilvl="0">
        <w:start w:val="1"/>
        <w:numFmt w:val="decimal"/>
        <w:pStyle w:val="ListParagraph"/>
        <w:lvlText w:val="%1."/>
        <w:lvlJc w:val="left"/>
        <w:pPr>
          <w:ind w:left="360" w:hanging="360"/>
        </w:pPr>
        <w:rPr>
          <w:rFonts w:ascii="Arial" w:hAnsi="Arial"/>
          <w:b w:val="0"/>
          <w:color w:val="000000"/>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13B1"/>
    <w:rsid w:val="00002004"/>
    <w:rsid w:val="0000405D"/>
    <w:rsid w:val="000117D4"/>
    <w:rsid w:val="00021869"/>
    <w:rsid w:val="00025250"/>
    <w:rsid w:val="000314D7"/>
    <w:rsid w:val="00034054"/>
    <w:rsid w:val="00037DAB"/>
    <w:rsid w:val="00045F8B"/>
    <w:rsid w:val="00046D2B"/>
    <w:rsid w:val="00055937"/>
    <w:rsid w:val="00056263"/>
    <w:rsid w:val="00064D8A"/>
    <w:rsid w:val="00064F82"/>
    <w:rsid w:val="00066510"/>
    <w:rsid w:val="00067458"/>
    <w:rsid w:val="00077523"/>
    <w:rsid w:val="00087BC0"/>
    <w:rsid w:val="00095D83"/>
    <w:rsid w:val="000B1DFC"/>
    <w:rsid w:val="000B7C3C"/>
    <w:rsid w:val="000C089F"/>
    <w:rsid w:val="000C3928"/>
    <w:rsid w:val="000C5E8E"/>
    <w:rsid w:val="000D1803"/>
    <w:rsid w:val="000E5EC4"/>
    <w:rsid w:val="000F425C"/>
    <w:rsid w:val="000F4751"/>
    <w:rsid w:val="00101FBB"/>
    <w:rsid w:val="0010524C"/>
    <w:rsid w:val="00111FB1"/>
    <w:rsid w:val="00113418"/>
    <w:rsid w:val="001356F1"/>
    <w:rsid w:val="00136659"/>
    <w:rsid w:val="00136994"/>
    <w:rsid w:val="0014128E"/>
    <w:rsid w:val="00151888"/>
    <w:rsid w:val="00154095"/>
    <w:rsid w:val="00170A2D"/>
    <w:rsid w:val="001808BC"/>
    <w:rsid w:val="00182B81"/>
    <w:rsid w:val="00184428"/>
    <w:rsid w:val="00185E09"/>
    <w:rsid w:val="0018619D"/>
    <w:rsid w:val="00192821"/>
    <w:rsid w:val="00193ABE"/>
    <w:rsid w:val="001952BA"/>
    <w:rsid w:val="001A011E"/>
    <w:rsid w:val="001A065F"/>
    <w:rsid w:val="001A066A"/>
    <w:rsid w:val="001A13E6"/>
    <w:rsid w:val="001A5731"/>
    <w:rsid w:val="001B2D6A"/>
    <w:rsid w:val="001B42C3"/>
    <w:rsid w:val="001B5207"/>
    <w:rsid w:val="001B560C"/>
    <w:rsid w:val="001C5D5E"/>
    <w:rsid w:val="001D58DC"/>
    <w:rsid w:val="001D5B48"/>
    <w:rsid w:val="001D678D"/>
    <w:rsid w:val="001E03F8"/>
    <w:rsid w:val="001E1678"/>
    <w:rsid w:val="001E3376"/>
    <w:rsid w:val="001E3EA9"/>
    <w:rsid w:val="001E4697"/>
    <w:rsid w:val="001E578B"/>
    <w:rsid w:val="002069B3"/>
    <w:rsid w:val="002312EA"/>
    <w:rsid w:val="002329CF"/>
    <w:rsid w:val="00232F5B"/>
    <w:rsid w:val="00247223"/>
    <w:rsid w:val="00247C29"/>
    <w:rsid w:val="00247F21"/>
    <w:rsid w:val="002534C7"/>
    <w:rsid w:val="0025518A"/>
    <w:rsid w:val="00260467"/>
    <w:rsid w:val="00263EA3"/>
    <w:rsid w:val="00264B19"/>
    <w:rsid w:val="00284A79"/>
    <w:rsid w:val="00284F85"/>
    <w:rsid w:val="002859D4"/>
    <w:rsid w:val="00286D56"/>
    <w:rsid w:val="002870C3"/>
    <w:rsid w:val="00287A88"/>
    <w:rsid w:val="00290915"/>
    <w:rsid w:val="002A1840"/>
    <w:rsid w:val="002A22E2"/>
    <w:rsid w:val="002A47D2"/>
    <w:rsid w:val="002A5127"/>
    <w:rsid w:val="002B39F7"/>
    <w:rsid w:val="002B6836"/>
    <w:rsid w:val="002C64F7"/>
    <w:rsid w:val="002E0E7E"/>
    <w:rsid w:val="002E4EA2"/>
    <w:rsid w:val="002E62AD"/>
    <w:rsid w:val="002E7228"/>
    <w:rsid w:val="002F41F2"/>
    <w:rsid w:val="00301BF3"/>
    <w:rsid w:val="0030208D"/>
    <w:rsid w:val="00317A42"/>
    <w:rsid w:val="00323418"/>
    <w:rsid w:val="003357BF"/>
    <w:rsid w:val="00350700"/>
    <w:rsid w:val="0035258F"/>
    <w:rsid w:val="003541EC"/>
    <w:rsid w:val="00363B75"/>
    <w:rsid w:val="00364FAD"/>
    <w:rsid w:val="0036738F"/>
    <w:rsid w:val="0036759C"/>
    <w:rsid w:val="00367AE5"/>
    <w:rsid w:val="00367D71"/>
    <w:rsid w:val="00374772"/>
    <w:rsid w:val="0038150A"/>
    <w:rsid w:val="003815FC"/>
    <w:rsid w:val="00395340"/>
    <w:rsid w:val="003A3BCB"/>
    <w:rsid w:val="003A78BC"/>
    <w:rsid w:val="003A7FEF"/>
    <w:rsid w:val="003B6E75"/>
    <w:rsid w:val="003B7DA1"/>
    <w:rsid w:val="003C3C88"/>
    <w:rsid w:val="003D0379"/>
    <w:rsid w:val="003D2574"/>
    <w:rsid w:val="003D28A7"/>
    <w:rsid w:val="003D3150"/>
    <w:rsid w:val="003D4C59"/>
    <w:rsid w:val="003D4F42"/>
    <w:rsid w:val="003D6C00"/>
    <w:rsid w:val="003D7BB7"/>
    <w:rsid w:val="003F4267"/>
    <w:rsid w:val="003F7425"/>
    <w:rsid w:val="0040258A"/>
    <w:rsid w:val="00404032"/>
    <w:rsid w:val="0040736F"/>
    <w:rsid w:val="00412C1F"/>
    <w:rsid w:val="00421CB2"/>
    <w:rsid w:val="004268B9"/>
    <w:rsid w:val="0043377A"/>
    <w:rsid w:val="00433B96"/>
    <w:rsid w:val="00442E56"/>
    <w:rsid w:val="004440F1"/>
    <w:rsid w:val="004456DD"/>
    <w:rsid w:val="00445C9C"/>
    <w:rsid w:val="00446CDF"/>
    <w:rsid w:val="00451CC4"/>
    <w:rsid w:val="004521B7"/>
    <w:rsid w:val="004548E0"/>
    <w:rsid w:val="00456B83"/>
    <w:rsid w:val="00457C5E"/>
    <w:rsid w:val="00462AB5"/>
    <w:rsid w:val="00462D22"/>
    <w:rsid w:val="00465EAF"/>
    <w:rsid w:val="00470BAB"/>
    <w:rsid w:val="004738C5"/>
    <w:rsid w:val="0047737B"/>
    <w:rsid w:val="00491046"/>
    <w:rsid w:val="0049421A"/>
    <w:rsid w:val="00496078"/>
    <w:rsid w:val="004A2AC7"/>
    <w:rsid w:val="004A6D2F"/>
    <w:rsid w:val="004A7B5C"/>
    <w:rsid w:val="004B11AE"/>
    <w:rsid w:val="004B6627"/>
    <w:rsid w:val="004C2887"/>
    <w:rsid w:val="004C3B0D"/>
    <w:rsid w:val="004C500D"/>
    <w:rsid w:val="004D2626"/>
    <w:rsid w:val="004D54AF"/>
    <w:rsid w:val="004D6E26"/>
    <w:rsid w:val="004D77D3"/>
    <w:rsid w:val="004E2959"/>
    <w:rsid w:val="004F20EF"/>
    <w:rsid w:val="004F3E50"/>
    <w:rsid w:val="0050321C"/>
    <w:rsid w:val="00507ECC"/>
    <w:rsid w:val="005169C7"/>
    <w:rsid w:val="00537569"/>
    <w:rsid w:val="00542E9F"/>
    <w:rsid w:val="0054712D"/>
    <w:rsid w:val="00547EF6"/>
    <w:rsid w:val="005570B5"/>
    <w:rsid w:val="005648BD"/>
    <w:rsid w:val="005669E0"/>
    <w:rsid w:val="00567E18"/>
    <w:rsid w:val="0057297E"/>
    <w:rsid w:val="00575F5F"/>
    <w:rsid w:val="00581805"/>
    <w:rsid w:val="00582FED"/>
    <w:rsid w:val="00585F76"/>
    <w:rsid w:val="00590EDD"/>
    <w:rsid w:val="005A34E4"/>
    <w:rsid w:val="005A6172"/>
    <w:rsid w:val="005A6610"/>
    <w:rsid w:val="005A7369"/>
    <w:rsid w:val="005B17F2"/>
    <w:rsid w:val="005B7FB0"/>
    <w:rsid w:val="005C1427"/>
    <w:rsid w:val="005C35A5"/>
    <w:rsid w:val="005C577C"/>
    <w:rsid w:val="005C7C14"/>
    <w:rsid w:val="005D0621"/>
    <w:rsid w:val="005D1E27"/>
    <w:rsid w:val="005D2A3E"/>
    <w:rsid w:val="005D44FD"/>
    <w:rsid w:val="005D5819"/>
    <w:rsid w:val="005E022E"/>
    <w:rsid w:val="005E2D95"/>
    <w:rsid w:val="005E5215"/>
    <w:rsid w:val="005F173E"/>
    <w:rsid w:val="005F7F7E"/>
    <w:rsid w:val="0060638B"/>
    <w:rsid w:val="0061358F"/>
    <w:rsid w:val="00614693"/>
    <w:rsid w:val="006148FE"/>
    <w:rsid w:val="00616A4D"/>
    <w:rsid w:val="00616EDF"/>
    <w:rsid w:val="00623C2F"/>
    <w:rsid w:val="00627CBA"/>
    <w:rsid w:val="00630811"/>
    <w:rsid w:val="00632788"/>
    <w:rsid w:val="00633578"/>
    <w:rsid w:val="00637068"/>
    <w:rsid w:val="00640B51"/>
    <w:rsid w:val="006419CA"/>
    <w:rsid w:val="00650811"/>
    <w:rsid w:val="00655339"/>
    <w:rsid w:val="00661D3E"/>
    <w:rsid w:val="00662AC3"/>
    <w:rsid w:val="00666942"/>
    <w:rsid w:val="006776AB"/>
    <w:rsid w:val="00677C23"/>
    <w:rsid w:val="00681E17"/>
    <w:rsid w:val="00684B5D"/>
    <w:rsid w:val="00692627"/>
    <w:rsid w:val="006969E7"/>
    <w:rsid w:val="00696C1B"/>
    <w:rsid w:val="006A3643"/>
    <w:rsid w:val="006B10C2"/>
    <w:rsid w:val="006C2A29"/>
    <w:rsid w:val="006C64CF"/>
    <w:rsid w:val="006D17B1"/>
    <w:rsid w:val="006D4752"/>
    <w:rsid w:val="006D708A"/>
    <w:rsid w:val="006D72C7"/>
    <w:rsid w:val="006E10FA"/>
    <w:rsid w:val="006E14C1"/>
    <w:rsid w:val="006E7CF1"/>
    <w:rsid w:val="006F0292"/>
    <w:rsid w:val="006F27FA"/>
    <w:rsid w:val="006F346B"/>
    <w:rsid w:val="006F416B"/>
    <w:rsid w:val="006F519B"/>
    <w:rsid w:val="006F7AD6"/>
    <w:rsid w:val="00706125"/>
    <w:rsid w:val="00710C66"/>
    <w:rsid w:val="00710F96"/>
    <w:rsid w:val="007120EA"/>
    <w:rsid w:val="00712840"/>
    <w:rsid w:val="00713675"/>
    <w:rsid w:val="007142F7"/>
    <w:rsid w:val="00715823"/>
    <w:rsid w:val="007175AE"/>
    <w:rsid w:val="0072449C"/>
    <w:rsid w:val="007253EF"/>
    <w:rsid w:val="007360D6"/>
    <w:rsid w:val="00737B93"/>
    <w:rsid w:val="00740E0D"/>
    <w:rsid w:val="00745BF0"/>
    <w:rsid w:val="00751EA3"/>
    <w:rsid w:val="00757E9C"/>
    <w:rsid w:val="007615FE"/>
    <w:rsid w:val="00765298"/>
    <w:rsid w:val="0076655C"/>
    <w:rsid w:val="007716B7"/>
    <w:rsid w:val="007742DC"/>
    <w:rsid w:val="00780404"/>
    <w:rsid w:val="00780EC9"/>
    <w:rsid w:val="00781358"/>
    <w:rsid w:val="00791437"/>
    <w:rsid w:val="007970E0"/>
    <w:rsid w:val="007B0A48"/>
    <w:rsid w:val="007B0C2C"/>
    <w:rsid w:val="007B278E"/>
    <w:rsid w:val="007B4FCE"/>
    <w:rsid w:val="007B5CA2"/>
    <w:rsid w:val="007C5C23"/>
    <w:rsid w:val="007C63EE"/>
    <w:rsid w:val="007D0817"/>
    <w:rsid w:val="007D1E8E"/>
    <w:rsid w:val="007E2A26"/>
    <w:rsid w:val="007F0D7C"/>
    <w:rsid w:val="007F2348"/>
    <w:rsid w:val="007F4757"/>
    <w:rsid w:val="008011CE"/>
    <w:rsid w:val="00803F07"/>
    <w:rsid w:val="0080749A"/>
    <w:rsid w:val="00821FB8"/>
    <w:rsid w:val="00822ACD"/>
    <w:rsid w:val="008266D1"/>
    <w:rsid w:val="00831326"/>
    <w:rsid w:val="00834BAA"/>
    <w:rsid w:val="00835B43"/>
    <w:rsid w:val="00852FD8"/>
    <w:rsid w:val="00855C66"/>
    <w:rsid w:val="00871EE4"/>
    <w:rsid w:val="00877CF1"/>
    <w:rsid w:val="0088692E"/>
    <w:rsid w:val="008954DF"/>
    <w:rsid w:val="00895E8B"/>
    <w:rsid w:val="00897B30"/>
    <w:rsid w:val="008A1C7A"/>
    <w:rsid w:val="008A55EE"/>
    <w:rsid w:val="008B293F"/>
    <w:rsid w:val="008B46F4"/>
    <w:rsid w:val="008B7371"/>
    <w:rsid w:val="008C0A8E"/>
    <w:rsid w:val="008D3DDB"/>
    <w:rsid w:val="008E24F8"/>
    <w:rsid w:val="008E763B"/>
    <w:rsid w:val="008F3B04"/>
    <w:rsid w:val="008F573F"/>
    <w:rsid w:val="009034EC"/>
    <w:rsid w:val="00926F0A"/>
    <w:rsid w:val="0093067A"/>
    <w:rsid w:val="00931D87"/>
    <w:rsid w:val="00933CB5"/>
    <w:rsid w:val="00940589"/>
    <w:rsid w:val="00940E15"/>
    <w:rsid w:val="00941C60"/>
    <w:rsid w:val="00941FD1"/>
    <w:rsid w:val="00950824"/>
    <w:rsid w:val="00960DB1"/>
    <w:rsid w:val="00966D42"/>
    <w:rsid w:val="009704F3"/>
    <w:rsid w:val="00971689"/>
    <w:rsid w:val="0097170F"/>
    <w:rsid w:val="009734CB"/>
    <w:rsid w:val="00973E90"/>
    <w:rsid w:val="00974A20"/>
    <w:rsid w:val="00975B07"/>
    <w:rsid w:val="00975F37"/>
    <w:rsid w:val="00977A48"/>
    <w:rsid w:val="00980B4A"/>
    <w:rsid w:val="00991DF9"/>
    <w:rsid w:val="009A5AB9"/>
    <w:rsid w:val="009A786C"/>
    <w:rsid w:val="009B33C3"/>
    <w:rsid w:val="009B3E8A"/>
    <w:rsid w:val="009B5901"/>
    <w:rsid w:val="009C02AD"/>
    <w:rsid w:val="009C21E3"/>
    <w:rsid w:val="009D1720"/>
    <w:rsid w:val="009D55C1"/>
    <w:rsid w:val="009E30E2"/>
    <w:rsid w:val="009E3D0A"/>
    <w:rsid w:val="009E51FC"/>
    <w:rsid w:val="009F1D28"/>
    <w:rsid w:val="009F7618"/>
    <w:rsid w:val="00A00035"/>
    <w:rsid w:val="00A04D23"/>
    <w:rsid w:val="00A06766"/>
    <w:rsid w:val="00A12FED"/>
    <w:rsid w:val="00A13765"/>
    <w:rsid w:val="00A13B78"/>
    <w:rsid w:val="00A13C97"/>
    <w:rsid w:val="00A21B12"/>
    <w:rsid w:val="00A22B0F"/>
    <w:rsid w:val="00A23F80"/>
    <w:rsid w:val="00A2745E"/>
    <w:rsid w:val="00A3202E"/>
    <w:rsid w:val="00A34492"/>
    <w:rsid w:val="00A46E98"/>
    <w:rsid w:val="00A4731B"/>
    <w:rsid w:val="00A61797"/>
    <w:rsid w:val="00A6281B"/>
    <w:rsid w:val="00A6352B"/>
    <w:rsid w:val="00A701B5"/>
    <w:rsid w:val="00A713FC"/>
    <w:rsid w:val="00A714BB"/>
    <w:rsid w:val="00A77147"/>
    <w:rsid w:val="00A92D8F"/>
    <w:rsid w:val="00AA621A"/>
    <w:rsid w:val="00AB2988"/>
    <w:rsid w:val="00AB7999"/>
    <w:rsid w:val="00AC299B"/>
    <w:rsid w:val="00AD3292"/>
    <w:rsid w:val="00AD67B8"/>
    <w:rsid w:val="00AD7EEC"/>
    <w:rsid w:val="00AE1684"/>
    <w:rsid w:val="00AE7AF0"/>
    <w:rsid w:val="00AE7F27"/>
    <w:rsid w:val="00AF1727"/>
    <w:rsid w:val="00AF4814"/>
    <w:rsid w:val="00B04941"/>
    <w:rsid w:val="00B05F2C"/>
    <w:rsid w:val="00B13BE8"/>
    <w:rsid w:val="00B21F8E"/>
    <w:rsid w:val="00B243DE"/>
    <w:rsid w:val="00B27675"/>
    <w:rsid w:val="00B3509B"/>
    <w:rsid w:val="00B40444"/>
    <w:rsid w:val="00B44103"/>
    <w:rsid w:val="00B500CA"/>
    <w:rsid w:val="00B5513E"/>
    <w:rsid w:val="00B62952"/>
    <w:rsid w:val="00B80A88"/>
    <w:rsid w:val="00B83F05"/>
    <w:rsid w:val="00B86314"/>
    <w:rsid w:val="00B86DA0"/>
    <w:rsid w:val="00B90F13"/>
    <w:rsid w:val="00B96B21"/>
    <w:rsid w:val="00BA1C2E"/>
    <w:rsid w:val="00BA37B1"/>
    <w:rsid w:val="00BB1968"/>
    <w:rsid w:val="00BB7103"/>
    <w:rsid w:val="00BC200B"/>
    <w:rsid w:val="00BC4756"/>
    <w:rsid w:val="00BC69A4"/>
    <w:rsid w:val="00BD1E4A"/>
    <w:rsid w:val="00BD6181"/>
    <w:rsid w:val="00BE0680"/>
    <w:rsid w:val="00BE305F"/>
    <w:rsid w:val="00BE506A"/>
    <w:rsid w:val="00BE587F"/>
    <w:rsid w:val="00BE7BA3"/>
    <w:rsid w:val="00BF5682"/>
    <w:rsid w:val="00BF7B09"/>
    <w:rsid w:val="00C044A2"/>
    <w:rsid w:val="00C05260"/>
    <w:rsid w:val="00C0610F"/>
    <w:rsid w:val="00C06EA0"/>
    <w:rsid w:val="00C076B9"/>
    <w:rsid w:val="00C11E98"/>
    <w:rsid w:val="00C1320F"/>
    <w:rsid w:val="00C16B47"/>
    <w:rsid w:val="00C2004E"/>
    <w:rsid w:val="00C20A95"/>
    <w:rsid w:val="00C226E0"/>
    <w:rsid w:val="00C2692F"/>
    <w:rsid w:val="00C26DCF"/>
    <w:rsid w:val="00C3207C"/>
    <w:rsid w:val="00C400E1"/>
    <w:rsid w:val="00C41187"/>
    <w:rsid w:val="00C458EC"/>
    <w:rsid w:val="00C63C31"/>
    <w:rsid w:val="00C678DE"/>
    <w:rsid w:val="00C757A0"/>
    <w:rsid w:val="00C760DE"/>
    <w:rsid w:val="00C82630"/>
    <w:rsid w:val="00C85B4E"/>
    <w:rsid w:val="00C907F7"/>
    <w:rsid w:val="00CA2103"/>
    <w:rsid w:val="00CB21E8"/>
    <w:rsid w:val="00CB4EF7"/>
    <w:rsid w:val="00CB6B99"/>
    <w:rsid w:val="00CB7694"/>
    <w:rsid w:val="00CC23B8"/>
    <w:rsid w:val="00CC57ED"/>
    <w:rsid w:val="00CD090D"/>
    <w:rsid w:val="00CD16C6"/>
    <w:rsid w:val="00CD280E"/>
    <w:rsid w:val="00CE4C87"/>
    <w:rsid w:val="00CE544A"/>
    <w:rsid w:val="00CF31CB"/>
    <w:rsid w:val="00CF6752"/>
    <w:rsid w:val="00D10162"/>
    <w:rsid w:val="00D11E1C"/>
    <w:rsid w:val="00D160B0"/>
    <w:rsid w:val="00D17A5E"/>
    <w:rsid w:val="00D17F94"/>
    <w:rsid w:val="00D2173A"/>
    <w:rsid w:val="00D223FC"/>
    <w:rsid w:val="00D24C46"/>
    <w:rsid w:val="00D24F05"/>
    <w:rsid w:val="00D257B2"/>
    <w:rsid w:val="00D26D1E"/>
    <w:rsid w:val="00D32639"/>
    <w:rsid w:val="00D33DB5"/>
    <w:rsid w:val="00D40F36"/>
    <w:rsid w:val="00D41D76"/>
    <w:rsid w:val="00D474CF"/>
    <w:rsid w:val="00D508AF"/>
    <w:rsid w:val="00D5547E"/>
    <w:rsid w:val="00D7300C"/>
    <w:rsid w:val="00D76CDD"/>
    <w:rsid w:val="00D860E2"/>
    <w:rsid w:val="00D869A1"/>
    <w:rsid w:val="00DA13A3"/>
    <w:rsid w:val="00DA2700"/>
    <w:rsid w:val="00DA413F"/>
    <w:rsid w:val="00DA4584"/>
    <w:rsid w:val="00DA4FCF"/>
    <w:rsid w:val="00DA614B"/>
    <w:rsid w:val="00DB54C3"/>
    <w:rsid w:val="00DB7AD7"/>
    <w:rsid w:val="00DC3060"/>
    <w:rsid w:val="00DD3DD7"/>
    <w:rsid w:val="00DE0FB2"/>
    <w:rsid w:val="00DF093E"/>
    <w:rsid w:val="00DF512B"/>
    <w:rsid w:val="00DF6AE1"/>
    <w:rsid w:val="00DF6D3F"/>
    <w:rsid w:val="00E01F42"/>
    <w:rsid w:val="00E14867"/>
    <w:rsid w:val="00E206D6"/>
    <w:rsid w:val="00E3366E"/>
    <w:rsid w:val="00E4609C"/>
    <w:rsid w:val="00E52086"/>
    <w:rsid w:val="00E543A6"/>
    <w:rsid w:val="00E60479"/>
    <w:rsid w:val="00E61D73"/>
    <w:rsid w:val="00E633E2"/>
    <w:rsid w:val="00E7364A"/>
    <w:rsid w:val="00E73684"/>
    <w:rsid w:val="00E752A0"/>
    <w:rsid w:val="00E818D6"/>
    <w:rsid w:val="00E87F7A"/>
    <w:rsid w:val="00E915DF"/>
    <w:rsid w:val="00E94B3E"/>
    <w:rsid w:val="00E96BD7"/>
    <w:rsid w:val="00EA0DB1"/>
    <w:rsid w:val="00EA0EE9"/>
    <w:rsid w:val="00EA1EB2"/>
    <w:rsid w:val="00EA482D"/>
    <w:rsid w:val="00EB1BED"/>
    <w:rsid w:val="00EB67BF"/>
    <w:rsid w:val="00EC680E"/>
    <w:rsid w:val="00EC7097"/>
    <w:rsid w:val="00ED52CA"/>
    <w:rsid w:val="00ED5860"/>
    <w:rsid w:val="00EE35C9"/>
    <w:rsid w:val="00EE5450"/>
    <w:rsid w:val="00EF7B6D"/>
    <w:rsid w:val="00F04EB0"/>
    <w:rsid w:val="00F05ECA"/>
    <w:rsid w:val="00F1057A"/>
    <w:rsid w:val="00F12283"/>
    <w:rsid w:val="00F15041"/>
    <w:rsid w:val="00F15408"/>
    <w:rsid w:val="00F1683A"/>
    <w:rsid w:val="00F23646"/>
    <w:rsid w:val="00F26E21"/>
    <w:rsid w:val="00F3566E"/>
    <w:rsid w:val="00F375FB"/>
    <w:rsid w:val="00F37EFE"/>
    <w:rsid w:val="00F410A7"/>
    <w:rsid w:val="00F41AC1"/>
    <w:rsid w:val="00F4367A"/>
    <w:rsid w:val="00F445B1"/>
    <w:rsid w:val="00F45CD4"/>
    <w:rsid w:val="00F47B7A"/>
    <w:rsid w:val="00F65C43"/>
    <w:rsid w:val="00F66DCA"/>
    <w:rsid w:val="00F673F7"/>
    <w:rsid w:val="00F74F53"/>
    <w:rsid w:val="00F7606D"/>
    <w:rsid w:val="00F77C67"/>
    <w:rsid w:val="00F81670"/>
    <w:rsid w:val="00F82024"/>
    <w:rsid w:val="00F83D0F"/>
    <w:rsid w:val="00F865A3"/>
    <w:rsid w:val="00F91504"/>
    <w:rsid w:val="00F95BC9"/>
    <w:rsid w:val="00FA51A4"/>
    <w:rsid w:val="00FA56E5"/>
    <w:rsid w:val="00FA624C"/>
    <w:rsid w:val="00FB3B71"/>
    <w:rsid w:val="00FC488E"/>
    <w:rsid w:val="00FD0FAC"/>
    <w:rsid w:val="00FD1DFA"/>
    <w:rsid w:val="00FD312A"/>
    <w:rsid w:val="00FD38EB"/>
    <w:rsid w:val="00FD4966"/>
    <w:rsid w:val="00FE57DC"/>
    <w:rsid w:val="00FF095A"/>
    <w:rsid w:val="0183C7F6"/>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833E2BF"/>
    <w:rsid w:val="4DC9FD09"/>
    <w:rsid w:val="4DF06A9C"/>
    <w:rsid w:val="51049B70"/>
    <w:rsid w:val="52141FE7"/>
    <w:rsid w:val="525AB559"/>
    <w:rsid w:val="530E7F80"/>
    <w:rsid w:val="53124442"/>
    <w:rsid w:val="54BD7E5A"/>
    <w:rsid w:val="562DCFA1"/>
    <w:rsid w:val="571C62E4"/>
    <w:rsid w:val="58C16BAB"/>
    <w:rsid w:val="5C2301F2"/>
    <w:rsid w:val="5CD2A867"/>
    <w:rsid w:val="5D0EC0A9"/>
    <w:rsid w:val="5D6EE46E"/>
    <w:rsid w:val="5DE62121"/>
    <w:rsid w:val="60443483"/>
    <w:rsid w:val="60B35EF8"/>
    <w:rsid w:val="613D2893"/>
    <w:rsid w:val="62B73EE3"/>
    <w:rsid w:val="636BDC7A"/>
    <w:rsid w:val="6BFBC2A1"/>
    <w:rsid w:val="6DA494F6"/>
    <w:rsid w:val="6ECA3545"/>
    <w:rsid w:val="70F8304B"/>
    <w:rsid w:val="7276546A"/>
    <w:rsid w:val="75E01BB2"/>
    <w:rsid w:val="76D8CABF"/>
    <w:rsid w:val="79442E52"/>
    <w:rsid w:val="7F3A43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D05EE275-0CAA-4620-9C7B-B028170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UnresolvedMention">
    <w:name w:val="Unresolved Mention"/>
    <w:basedOn w:val="DefaultParagraphFont"/>
    <w:uiPriority w:val="99"/>
    <w:semiHidden/>
    <w:unhideWhenUsed/>
    <w:rsid w:val="00E75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dude@oxford.gov.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bowler@oxford.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ycouncil.oxford.gov.uk/mgIssueHistoryHome.aspx?IId=40735&amp;PlanId=547&amp;RPID=49344622"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EB972-DA5E-4278-9BAC-14B5B0CC5802}"/>
</file>

<file path=customXml/itemProps2.xml><?xml version="1.0" encoding="utf-8"?>
<ds:datastoreItem xmlns:ds="http://schemas.openxmlformats.org/officeDocument/2006/customXml" ds:itemID="{D7302B15-B981-4809-B525-C3BA22C5FE74}">
  <ds:schemaRefs>
    <ds:schemaRef ds:uri="http://schemas.microsoft.com/office/2006/documentManagement/types"/>
    <ds:schemaRef ds:uri="http://purl.org/dc/elements/1.1/"/>
    <ds:schemaRef ds:uri="http://schemas.openxmlformats.org/package/2006/metadata/core-properties"/>
    <ds:schemaRef ds:uri="65f813cb-d495-47b9-a9fc-eaba99d3afc1"/>
    <ds:schemaRef ds:uri="http://schemas.microsoft.com/office/infopath/2007/PartnerControls"/>
    <ds:schemaRef ds:uri="http://purl.org/dc/dcmitype/"/>
    <ds:schemaRef ds:uri="http://purl.org/dc/terms/"/>
    <ds:schemaRef ds:uri="5d03a7aa-f205-4c60-a6e8-40e49a4e3d3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4.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subject/>
  <dc:creator>jmitchell</dc:creator>
  <keywords>OxCityCouncil Report</keywords>
  <lastModifiedBy>MCCOLLUM Brenda</lastModifiedBy>
  <revision>155</revision>
  <lastPrinted>2015-07-03T13:50:00.0000000Z</lastPrinted>
  <dcterms:created xsi:type="dcterms:W3CDTF">2025-07-21T09:45:00.0000000Z</dcterms:created>
  <dcterms:modified xsi:type="dcterms:W3CDTF">2025-10-03T07:58:35.3525044Z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